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C45D" w14:textId="77777777" w:rsidR="0055599F" w:rsidRPr="00923DE5" w:rsidRDefault="0055599F" w:rsidP="009D0AAB">
      <w:pPr>
        <w:spacing w:after="0" w:line="240" w:lineRule="auto"/>
        <w:rPr>
          <w:rFonts w:ascii="Times New Roman" w:hAnsi="Times New Roman" w:cs="Times New Roman"/>
          <w:sz w:val="24"/>
          <w:szCs w:val="24"/>
        </w:rPr>
      </w:pPr>
    </w:p>
    <w:p w14:paraId="5EA06CD2" w14:textId="77777777" w:rsidR="00F1057F" w:rsidRDefault="007C220F" w:rsidP="009D0AAB">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Akre</w:t>
      </w:r>
      <w:proofErr w:type="spellEnd"/>
      <w:r w:rsidR="002305AD">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r w:rsidR="009A783B">
        <w:rPr>
          <w:rFonts w:ascii="Times New Roman" w:hAnsi="Times New Roman" w:cs="Times New Roman"/>
          <w:b/>
          <w:bCs/>
          <w:sz w:val="24"/>
          <w:szCs w:val="24"/>
        </w:rPr>
        <w:t xml:space="preserve"> (DP354)</w:t>
      </w:r>
      <w:r w:rsidR="0055599F">
        <w:rPr>
          <w:rFonts w:ascii="Times New Roman" w:hAnsi="Times New Roman" w:cs="Times New Roman"/>
          <w:b/>
          <w:bCs/>
          <w:sz w:val="24"/>
          <w:szCs w:val="24"/>
        </w:rPr>
        <w:t xml:space="preserve"> </w:t>
      </w:r>
    </w:p>
    <w:p w14:paraId="49F6926D" w14:textId="55434185"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w:t>
      </w:r>
      <w:r w:rsidR="00C61F2E">
        <w:rPr>
          <w:rFonts w:ascii="Times New Roman" w:hAnsi="Times New Roman" w:cs="Times New Roman"/>
          <w:b/>
          <w:bCs/>
          <w:sz w:val="24"/>
          <w:szCs w:val="24"/>
        </w:rPr>
        <w:t>u</w:t>
      </w:r>
      <w:r w:rsidRPr="00FF685B">
        <w:rPr>
          <w:rFonts w:ascii="Times New Roman" w:hAnsi="Times New Roman" w:cs="Times New Roman"/>
          <w:b/>
          <w:bCs/>
          <w:sz w:val="24"/>
          <w:szCs w:val="24"/>
        </w:rPr>
        <w:t>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F246EC" w14:paraId="6DA93693" w14:textId="77777777" w:rsidTr="00370003">
        <w:trPr>
          <w:trHeight w:val="871"/>
        </w:trPr>
        <w:tc>
          <w:tcPr>
            <w:tcW w:w="704" w:type="dxa"/>
          </w:tcPr>
          <w:p w14:paraId="205BC91D" w14:textId="05C636F7" w:rsidR="00F246EC" w:rsidRDefault="00F246EC" w:rsidP="00F246EC">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7C3F277C" w14:textId="387CAC3D" w:rsidR="00F246EC" w:rsidRDefault="00F246EC" w:rsidP="00F246EC">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1DDACAF7" w14:textId="21E85F40" w:rsidR="00F246EC" w:rsidRDefault="00F246EC" w:rsidP="00F246EC">
            <w:pPr>
              <w:jc w:val="both"/>
              <w:rPr>
                <w:rFonts w:ascii="Times New Roman" w:hAnsi="Times New Roman" w:cs="Times New Roman"/>
                <w:sz w:val="24"/>
                <w:szCs w:val="24"/>
              </w:rPr>
            </w:pPr>
            <w:r w:rsidRPr="00FA2F99">
              <w:rPr>
                <w:rFonts w:ascii="Times New Roman" w:hAnsi="Times New Roman" w:cs="Times New Roman"/>
                <w:sz w:val="24"/>
                <w:szCs w:val="24"/>
              </w:rPr>
              <w:t xml:space="preserve">Detailplaneeringu eesmärgiks on </w:t>
            </w:r>
            <w:r w:rsidRPr="007F21D5">
              <w:rPr>
                <w:rFonts w:ascii="Times New Roman" w:hAnsi="Times New Roman" w:cs="Times New Roman"/>
                <w:sz w:val="24"/>
                <w:szCs w:val="24"/>
              </w:rPr>
              <w:t>määrata</w:t>
            </w:r>
            <w:r>
              <w:rPr>
                <w:rFonts w:ascii="Times New Roman" w:hAnsi="Times New Roman" w:cs="Times New Roman"/>
                <w:sz w:val="24"/>
                <w:szCs w:val="24"/>
              </w:rPr>
              <w:t xml:space="preserve"> </w:t>
            </w:r>
            <w:r w:rsidRPr="007F21D5">
              <w:rPr>
                <w:rFonts w:ascii="Times New Roman" w:hAnsi="Times New Roman" w:cs="Times New Roman"/>
                <w:sz w:val="24"/>
                <w:szCs w:val="24"/>
              </w:rPr>
              <w:t>ehitusõigus sadamakompleksi ja selle juurde kuuluvate hoonete ning puhkekompleksi rajamiseks.</w:t>
            </w:r>
            <w:r>
              <w:rPr>
                <w:rFonts w:ascii="Times New Roman" w:hAnsi="Times New Roman" w:cs="Times New Roman"/>
                <w:sz w:val="24"/>
                <w:szCs w:val="24"/>
              </w:rPr>
              <w:t xml:space="preserve"> </w:t>
            </w:r>
          </w:p>
        </w:tc>
      </w:tr>
      <w:tr w:rsidR="00F246EC" w14:paraId="70828A4E" w14:textId="77777777" w:rsidTr="00EA22EC">
        <w:trPr>
          <w:trHeight w:val="599"/>
        </w:trPr>
        <w:tc>
          <w:tcPr>
            <w:tcW w:w="704" w:type="dxa"/>
          </w:tcPr>
          <w:p w14:paraId="266A2310" w14:textId="7C67DFC0" w:rsidR="00F246EC" w:rsidRDefault="00F246EC" w:rsidP="00F246EC">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50CFF5C0" w14:textId="0C26E6DA" w:rsidR="00F246EC" w:rsidRPr="0057656F" w:rsidRDefault="00F246EC" w:rsidP="00F246EC">
            <w:pPr>
              <w:rPr>
                <w:rFonts w:ascii="Times New Roman" w:hAnsi="Times New Roman" w:cs="Times New Roman"/>
                <w:sz w:val="24"/>
                <w:szCs w:val="24"/>
              </w:rPr>
            </w:pPr>
            <w:r>
              <w:rPr>
                <w:rFonts w:ascii="Times New Roman" w:hAnsi="Times New Roman" w:cs="Times New Roman"/>
                <w:sz w:val="24"/>
                <w:szCs w:val="24"/>
              </w:rPr>
              <w:t>Vastavus üldplaneeringule</w:t>
            </w:r>
          </w:p>
        </w:tc>
        <w:tc>
          <w:tcPr>
            <w:tcW w:w="5806" w:type="dxa"/>
          </w:tcPr>
          <w:p w14:paraId="5513B7E4" w14:textId="3AC959A3" w:rsidR="00F246EC" w:rsidRPr="00FA2F99" w:rsidRDefault="00F246EC" w:rsidP="00F246EC">
            <w:pPr>
              <w:jc w:val="both"/>
              <w:rPr>
                <w:rFonts w:ascii="Times New Roman" w:hAnsi="Times New Roman" w:cs="Times New Roman"/>
                <w:sz w:val="24"/>
                <w:szCs w:val="24"/>
              </w:rPr>
            </w:pPr>
            <w:r>
              <w:rPr>
                <w:rFonts w:ascii="Times New Roman" w:hAnsi="Times New Roman" w:cs="Times New Roman"/>
                <w:sz w:val="24"/>
                <w:szCs w:val="24"/>
              </w:rPr>
              <w:t>Üldplaneeri</w:t>
            </w:r>
            <w:r w:rsidR="00294275">
              <w:rPr>
                <w:rFonts w:ascii="Times New Roman" w:hAnsi="Times New Roman" w:cs="Times New Roman"/>
                <w:sz w:val="24"/>
                <w:szCs w:val="24"/>
              </w:rPr>
              <w:t>n</w:t>
            </w:r>
            <w:r>
              <w:rPr>
                <w:rFonts w:ascii="Times New Roman" w:hAnsi="Times New Roman" w:cs="Times New Roman"/>
                <w:sz w:val="24"/>
                <w:szCs w:val="24"/>
              </w:rPr>
              <w:t>guga kooskõlas.</w:t>
            </w:r>
          </w:p>
        </w:tc>
      </w:tr>
      <w:tr w:rsidR="00F246EC" w14:paraId="6443B9BF" w14:textId="77777777" w:rsidTr="005D5C0D">
        <w:trPr>
          <w:trHeight w:val="328"/>
        </w:trPr>
        <w:tc>
          <w:tcPr>
            <w:tcW w:w="704" w:type="dxa"/>
          </w:tcPr>
          <w:p w14:paraId="50464AAB" w14:textId="0F9D3144" w:rsidR="00F246EC" w:rsidRDefault="00F246EC" w:rsidP="00F246EC">
            <w:pPr>
              <w:rPr>
                <w:rFonts w:ascii="Times New Roman" w:hAnsi="Times New Roman" w:cs="Times New Roman"/>
                <w:sz w:val="24"/>
                <w:szCs w:val="24"/>
              </w:rPr>
            </w:pPr>
            <w:r>
              <w:rPr>
                <w:rFonts w:ascii="Times New Roman" w:hAnsi="Times New Roman" w:cs="Times New Roman"/>
                <w:sz w:val="24"/>
                <w:szCs w:val="24"/>
              </w:rPr>
              <w:t>1.</w:t>
            </w:r>
            <w:r w:rsidR="00E426EE">
              <w:rPr>
                <w:rFonts w:ascii="Times New Roman" w:hAnsi="Times New Roman" w:cs="Times New Roman"/>
                <w:sz w:val="24"/>
                <w:szCs w:val="24"/>
              </w:rPr>
              <w:t>3</w:t>
            </w:r>
          </w:p>
        </w:tc>
        <w:tc>
          <w:tcPr>
            <w:tcW w:w="2552" w:type="dxa"/>
          </w:tcPr>
          <w:p w14:paraId="33AB67CD" w14:textId="1EC5D30B" w:rsidR="00F246EC" w:rsidRPr="0057656F" w:rsidRDefault="00F246EC" w:rsidP="00F246EC">
            <w:pPr>
              <w:rPr>
                <w:rFonts w:ascii="Times New Roman" w:hAnsi="Times New Roman" w:cs="Times New Roman"/>
                <w:sz w:val="24"/>
                <w:szCs w:val="24"/>
              </w:rPr>
            </w:pPr>
            <w:r>
              <w:rPr>
                <w:rFonts w:ascii="Times New Roman" w:hAnsi="Times New Roman" w:cs="Times New Roman"/>
                <w:sz w:val="24"/>
                <w:szCs w:val="24"/>
              </w:rPr>
              <w:t>Planeeringuala suurus</w:t>
            </w:r>
          </w:p>
        </w:tc>
        <w:tc>
          <w:tcPr>
            <w:tcW w:w="5806" w:type="dxa"/>
          </w:tcPr>
          <w:p w14:paraId="51B9E99B" w14:textId="75265469" w:rsidR="00F246EC" w:rsidRPr="00FA2F99" w:rsidRDefault="00F246EC" w:rsidP="00F246EC">
            <w:pPr>
              <w:jc w:val="both"/>
              <w:rPr>
                <w:rFonts w:ascii="Times New Roman" w:hAnsi="Times New Roman" w:cs="Times New Roman"/>
                <w:sz w:val="24"/>
                <w:szCs w:val="24"/>
              </w:rPr>
            </w:pPr>
            <w:r>
              <w:rPr>
                <w:rFonts w:ascii="Times New Roman" w:hAnsi="Times New Roman" w:cs="Times New Roman"/>
                <w:sz w:val="24"/>
                <w:szCs w:val="24"/>
              </w:rPr>
              <w:t>ligikaudu 3,9 ha.</w:t>
            </w:r>
          </w:p>
        </w:tc>
      </w:tr>
      <w:tr w:rsidR="00F246EC" w14:paraId="04D70E42" w14:textId="77777777" w:rsidTr="00327F1E">
        <w:tc>
          <w:tcPr>
            <w:tcW w:w="704" w:type="dxa"/>
          </w:tcPr>
          <w:p w14:paraId="61604B8C" w14:textId="376A7CA9" w:rsidR="00F246EC" w:rsidRDefault="00F246EC" w:rsidP="00F246EC">
            <w:pPr>
              <w:rPr>
                <w:rFonts w:ascii="Times New Roman" w:hAnsi="Times New Roman" w:cs="Times New Roman"/>
                <w:sz w:val="24"/>
                <w:szCs w:val="24"/>
              </w:rPr>
            </w:pPr>
            <w:r>
              <w:rPr>
                <w:rFonts w:ascii="Times New Roman" w:hAnsi="Times New Roman" w:cs="Times New Roman"/>
                <w:sz w:val="24"/>
                <w:szCs w:val="24"/>
              </w:rPr>
              <w:t>1.</w:t>
            </w:r>
            <w:r w:rsidR="00E426EE">
              <w:rPr>
                <w:rFonts w:ascii="Times New Roman" w:hAnsi="Times New Roman" w:cs="Times New Roman"/>
                <w:sz w:val="24"/>
                <w:szCs w:val="24"/>
              </w:rPr>
              <w:t>4</w:t>
            </w:r>
          </w:p>
        </w:tc>
        <w:tc>
          <w:tcPr>
            <w:tcW w:w="2552" w:type="dxa"/>
          </w:tcPr>
          <w:p w14:paraId="463F290E" w14:textId="3E8DEA39" w:rsidR="00F246EC" w:rsidRDefault="00F246EC" w:rsidP="00F246EC">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6" w:type="dxa"/>
          </w:tcPr>
          <w:p w14:paraId="0016C6D8" w14:textId="7EE823FC" w:rsidR="00F246EC" w:rsidRDefault="00F246EC" w:rsidP="00F246E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246EC" w14:paraId="2FB67B5A" w14:textId="77777777" w:rsidTr="00327F1E">
        <w:tc>
          <w:tcPr>
            <w:tcW w:w="704" w:type="dxa"/>
          </w:tcPr>
          <w:p w14:paraId="494ABFE3" w14:textId="4359EC0B" w:rsidR="00F246EC" w:rsidRDefault="00F246EC" w:rsidP="00F246EC">
            <w:pPr>
              <w:rPr>
                <w:rFonts w:ascii="Times New Roman" w:hAnsi="Times New Roman" w:cs="Times New Roman"/>
                <w:sz w:val="24"/>
                <w:szCs w:val="24"/>
              </w:rPr>
            </w:pPr>
            <w:r>
              <w:rPr>
                <w:rFonts w:ascii="Times New Roman" w:hAnsi="Times New Roman" w:cs="Times New Roman"/>
                <w:sz w:val="24"/>
                <w:szCs w:val="24"/>
              </w:rPr>
              <w:t>1.</w:t>
            </w:r>
            <w:r w:rsidR="00E426EE">
              <w:rPr>
                <w:rFonts w:ascii="Times New Roman" w:hAnsi="Times New Roman" w:cs="Times New Roman"/>
                <w:sz w:val="24"/>
                <w:szCs w:val="24"/>
              </w:rPr>
              <w:t>5</w:t>
            </w:r>
          </w:p>
        </w:tc>
        <w:tc>
          <w:tcPr>
            <w:tcW w:w="2552" w:type="dxa"/>
          </w:tcPr>
          <w:p w14:paraId="53B03AA7" w14:textId="48A91EF0" w:rsidR="00F246EC" w:rsidRDefault="00F246EC" w:rsidP="00F246EC">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6" w:type="dxa"/>
          </w:tcPr>
          <w:p w14:paraId="2AC70278" w14:textId="7B1510B2" w:rsidR="00F246EC" w:rsidRDefault="00F246EC" w:rsidP="00F246E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246EC" w14:paraId="25139A6E" w14:textId="77777777" w:rsidTr="00327F1E">
        <w:tc>
          <w:tcPr>
            <w:tcW w:w="704" w:type="dxa"/>
          </w:tcPr>
          <w:p w14:paraId="06A709A9" w14:textId="6E525BB9" w:rsidR="00F246EC" w:rsidRDefault="00F246EC" w:rsidP="00F246EC">
            <w:pPr>
              <w:rPr>
                <w:rFonts w:ascii="Times New Roman" w:hAnsi="Times New Roman" w:cs="Times New Roman"/>
                <w:sz w:val="24"/>
                <w:szCs w:val="24"/>
              </w:rPr>
            </w:pPr>
            <w:r>
              <w:rPr>
                <w:rFonts w:ascii="Times New Roman" w:hAnsi="Times New Roman" w:cs="Times New Roman"/>
                <w:sz w:val="24"/>
                <w:szCs w:val="24"/>
              </w:rPr>
              <w:t>1.</w:t>
            </w:r>
            <w:r w:rsidR="00E426EE">
              <w:rPr>
                <w:rFonts w:ascii="Times New Roman" w:hAnsi="Times New Roman" w:cs="Times New Roman"/>
                <w:sz w:val="24"/>
                <w:szCs w:val="24"/>
              </w:rPr>
              <w:t>6</w:t>
            </w:r>
          </w:p>
        </w:tc>
        <w:tc>
          <w:tcPr>
            <w:tcW w:w="2552" w:type="dxa"/>
          </w:tcPr>
          <w:p w14:paraId="512A4354" w14:textId="761145AB" w:rsidR="00F246EC" w:rsidRDefault="00F246EC" w:rsidP="00F246EC">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6" w:type="dxa"/>
          </w:tcPr>
          <w:p w14:paraId="5D65CA6D" w14:textId="7BD549D7" w:rsidR="00F246EC" w:rsidRDefault="00F246EC" w:rsidP="00F246E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246EC" w14:paraId="4639EF49" w14:textId="77777777" w:rsidTr="00327F1E">
        <w:tc>
          <w:tcPr>
            <w:tcW w:w="704" w:type="dxa"/>
          </w:tcPr>
          <w:p w14:paraId="7C1837D6" w14:textId="53A3C7FF" w:rsidR="00F246EC" w:rsidRDefault="00F246EC" w:rsidP="00F246EC">
            <w:pPr>
              <w:rPr>
                <w:rFonts w:ascii="Times New Roman" w:hAnsi="Times New Roman" w:cs="Times New Roman"/>
                <w:sz w:val="24"/>
                <w:szCs w:val="24"/>
              </w:rPr>
            </w:pPr>
            <w:r>
              <w:rPr>
                <w:rFonts w:ascii="Times New Roman" w:hAnsi="Times New Roman" w:cs="Times New Roman"/>
                <w:sz w:val="24"/>
                <w:szCs w:val="24"/>
              </w:rPr>
              <w:t>1.</w:t>
            </w:r>
            <w:r w:rsidR="00E426EE">
              <w:rPr>
                <w:rFonts w:ascii="Times New Roman" w:hAnsi="Times New Roman" w:cs="Times New Roman"/>
                <w:sz w:val="24"/>
                <w:szCs w:val="24"/>
              </w:rPr>
              <w:t>7</w:t>
            </w:r>
          </w:p>
        </w:tc>
        <w:tc>
          <w:tcPr>
            <w:tcW w:w="2552" w:type="dxa"/>
          </w:tcPr>
          <w:p w14:paraId="482310B1" w14:textId="2133B3E9" w:rsidR="00F246EC" w:rsidRDefault="00F246EC" w:rsidP="00F246EC">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6" w:type="dxa"/>
          </w:tcPr>
          <w:p w14:paraId="04442B33" w14:textId="562EF41B" w:rsidR="00F246EC" w:rsidRDefault="00F246EC" w:rsidP="00F246E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7B38A7BD"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 xml:space="preserve">etailplaneeringuga tuleb lahendada planeerimisseaduse </w:t>
            </w:r>
            <w:r w:rsidR="009E694D" w:rsidRPr="00B723F7">
              <w:rPr>
                <w:rFonts w:ascii="Times New Roman" w:hAnsi="Times New Roman" w:cs="Times New Roman"/>
                <w:sz w:val="24"/>
                <w:szCs w:val="24"/>
              </w:rPr>
              <w:t>§</w:t>
            </w:r>
            <w:r w:rsidR="00007A60" w:rsidRPr="00B723F7">
              <w:rPr>
                <w:rFonts w:ascii="Times New Roman" w:hAnsi="Times New Roman" w:cs="Times New Roman"/>
                <w:sz w:val="24"/>
                <w:szCs w:val="24"/>
              </w:rPr>
              <w:t> </w:t>
            </w:r>
            <w:r w:rsidR="009E694D" w:rsidRPr="00B723F7">
              <w:rPr>
                <w:rFonts w:ascii="Times New Roman" w:hAnsi="Times New Roman" w:cs="Times New Roman"/>
                <w:sz w:val="24"/>
                <w:szCs w:val="24"/>
              </w:rPr>
              <w:t>126 sätestatud ülesanded</w:t>
            </w:r>
            <w:r w:rsidR="00725878" w:rsidRPr="00B723F7">
              <w:rPr>
                <w:rFonts w:ascii="Times New Roman" w:hAnsi="Times New Roman" w:cs="Times New Roman"/>
                <w:sz w:val="24"/>
                <w:szCs w:val="24"/>
              </w:rPr>
              <w:t>.</w:t>
            </w:r>
          </w:p>
        </w:tc>
      </w:tr>
      <w:tr w:rsidR="009407DE" w:rsidRPr="00BE3D86" w14:paraId="2EB080D3" w14:textId="77777777" w:rsidTr="009023E4">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54A9B144" w14:textId="083BBAEB" w:rsidR="00BD010E" w:rsidRPr="00BE3D86" w:rsidRDefault="00BD010E" w:rsidP="00007A60">
            <w:pPr>
              <w:jc w:val="both"/>
              <w:rPr>
                <w:rFonts w:ascii="Times New Roman" w:hAnsi="Times New Roman" w:cs="Times New Roman"/>
                <w:sz w:val="24"/>
                <w:szCs w:val="24"/>
              </w:rPr>
            </w:pPr>
            <w:r w:rsidRPr="00BE3D86">
              <w:rPr>
                <w:rFonts w:ascii="Times New Roman" w:hAnsi="Times New Roman" w:cs="Times New Roman"/>
                <w:sz w:val="24"/>
                <w:szCs w:val="24"/>
              </w:rPr>
              <w:t>•</w:t>
            </w:r>
            <w:r w:rsidR="003E25AC" w:rsidRPr="00BE3D86">
              <w:rPr>
                <w:rFonts w:ascii="Times New Roman" w:hAnsi="Times New Roman" w:cs="Times New Roman"/>
                <w:sz w:val="24"/>
                <w:szCs w:val="24"/>
              </w:rPr>
              <w:t xml:space="preserve"> </w:t>
            </w:r>
            <w:r w:rsidRPr="00BE3D86">
              <w:rPr>
                <w:rFonts w:ascii="Times New Roman" w:hAnsi="Times New Roman" w:cs="Times New Roman"/>
                <w:sz w:val="24"/>
                <w:szCs w:val="24"/>
              </w:rPr>
              <w:t>Riigihalduse ministri 06.04.2018 käskkirjaga nr 1.1-4/75 kehtestatud Viljandi maakonnaplaneering 2030+</w:t>
            </w:r>
            <w:r w:rsidR="00E055BA" w:rsidRPr="00BE3D86">
              <w:rPr>
                <w:rFonts w:ascii="Times New Roman" w:hAnsi="Times New Roman" w:cs="Times New Roman"/>
                <w:sz w:val="24"/>
                <w:szCs w:val="24"/>
              </w:rPr>
              <w:t>.</w:t>
            </w:r>
          </w:p>
          <w:p w14:paraId="73150E8F" w14:textId="6D492559" w:rsidR="00BD010E" w:rsidRPr="00BE3D86" w:rsidRDefault="007F21D5" w:rsidP="00007A60">
            <w:pPr>
              <w:jc w:val="both"/>
              <w:rPr>
                <w:rFonts w:ascii="Times New Roman" w:hAnsi="Times New Roman" w:cs="Times New Roman"/>
                <w:sz w:val="24"/>
                <w:szCs w:val="24"/>
              </w:rPr>
            </w:pPr>
            <w:r w:rsidRPr="00BE3D86">
              <w:rPr>
                <w:rFonts w:ascii="Times New Roman" w:hAnsi="Times New Roman" w:cs="Times New Roman"/>
                <w:sz w:val="24"/>
                <w:szCs w:val="24"/>
              </w:rPr>
              <w:t>•</w:t>
            </w:r>
            <w:r w:rsidR="003E25AC" w:rsidRPr="00BE3D86">
              <w:rPr>
                <w:rFonts w:ascii="Times New Roman" w:hAnsi="Times New Roman" w:cs="Times New Roman"/>
                <w:sz w:val="24"/>
                <w:szCs w:val="24"/>
              </w:rPr>
              <w:t xml:space="preserve"> </w:t>
            </w:r>
            <w:r w:rsidR="00F46B00" w:rsidRPr="00BE3D86">
              <w:rPr>
                <w:rFonts w:ascii="Times New Roman" w:hAnsi="Times New Roman" w:cs="Times New Roman"/>
                <w:sz w:val="24"/>
                <w:szCs w:val="24"/>
              </w:rPr>
              <w:t>Viiratsi Vallavolikogu 30.03.2007 määrusega nr 5 „Üldplaneeringu kehtestamine“ kehtestatud Viiratsi valla üldplaneering.</w:t>
            </w:r>
          </w:p>
          <w:p w14:paraId="755FC0A1" w14:textId="65130F18" w:rsidR="005B7DD9" w:rsidRPr="00BE3D86" w:rsidRDefault="003E25AC" w:rsidP="005B7DD9">
            <w:pPr>
              <w:jc w:val="both"/>
              <w:rPr>
                <w:rFonts w:ascii="Times New Roman" w:hAnsi="Times New Roman" w:cs="Times New Roman"/>
                <w:sz w:val="24"/>
                <w:szCs w:val="24"/>
              </w:rPr>
            </w:pPr>
            <w:r w:rsidRPr="00BE3D86">
              <w:rPr>
                <w:rFonts w:ascii="Times New Roman" w:hAnsi="Times New Roman" w:cs="Times New Roman"/>
                <w:sz w:val="24"/>
                <w:szCs w:val="24"/>
              </w:rPr>
              <w:t xml:space="preserve">• </w:t>
            </w:r>
            <w:r w:rsidR="005B7DD9" w:rsidRPr="00BE3D86">
              <w:rPr>
                <w:rFonts w:ascii="Times New Roman" w:hAnsi="Times New Roman" w:cs="Times New Roman"/>
                <w:sz w:val="24"/>
                <w:szCs w:val="24"/>
              </w:rPr>
              <w:t>„</w:t>
            </w:r>
            <w:proofErr w:type="spellStart"/>
            <w:r w:rsidR="005B7DD9" w:rsidRPr="00BE3D86">
              <w:rPr>
                <w:rFonts w:ascii="Times New Roman" w:hAnsi="Times New Roman" w:cs="Times New Roman"/>
                <w:sz w:val="24"/>
                <w:szCs w:val="24"/>
              </w:rPr>
              <w:t>Akre</w:t>
            </w:r>
            <w:proofErr w:type="spellEnd"/>
            <w:r w:rsidR="005B7DD9" w:rsidRPr="00BE3D86">
              <w:rPr>
                <w:rFonts w:ascii="Times New Roman" w:hAnsi="Times New Roman" w:cs="Times New Roman"/>
                <w:sz w:val="24"/>
                <w:szCs w:val="24"/>
              </w:rPr>
              <w:t xml:space="preserve"> (89202:002:0135) kinnistu detailplaneeringu kava keskkonnamõju strateegilise hindamise (KSH) eelhinnang“ (</w:t>
            </w:r>
            <w:proofErr w:type="spellStart"/>
            <w:r w:rsidR="005B7DD9" w:rsidRPr="00BE3D86">
              <w:rPr>
                <w:rFonts w:ascii="Times New Roman" w:hAnsi="Times New Roman" w:cs="Times New Roman"/>
                <w:sz w:val="24"/>
                <w:szCs w:val="24"/>
              </w:rPr>
              <w:t>Alkranel</w:t>
            </w:r>
            <w:proofErr w:type="spellEnd"/>
            <w:r w:rsidR="005B7DD9" w:rsidRPr="00BE3D86">
              <w:rPr>
                <w:rFonts w:ascii="Times New Roman" w:hAnsi="Times New Roman" w:cs="Times New Roman"/>
                <w:sz w:val="24"/>
                <w:szCs w:val="24"/>
              </w:rPr>
              <w:t xml:space="preserve"> OÜ, </w:t>
            </w:r>
            <w:r w:rsidR="00641562" w:rsidRPr="00BE3D86">
              <w:rPr>
                <w:rFonts w:ascii="Times New Roman" w:hAnsi="Times New Roman" w:cs="Times New Roman"/>
                <w:sz w:val="24"/>
                <w:szCs w:val="24"/>
              </w:rPr>
              <w:t>2025/2026).</w:t>
            </w:r>
          </w:p>
          <w:p w14:paraId="4C0456E9" w14:textId="29F16DE3" w:rsidR="005B7DD9" w:rsidRPr="00BE3D86" w:rsidRDefault="005B7DD9" w:rsidP="005B7DD9">
            <w:pPr>
              <w:jc w:val="both"/>
              <w:rPr>
                <w:rFonts w:ascii="Times New Roman" w:hAnsi="Times New Roman" w:cs="Times New Roman"/>
                <w:sz w:val="24"/>
                <w:szCs w:val="24"/>
              </w:rPr>
            </w:pPr>
            <w:r w:rsidRPr="00BE3D86">
              <w:rPr>
                <w:rFonts w:ascii="Times New Roman" w:hAnsi="Times New Roman" w:cs="Times New Roman"/>
                <w:sz w:val="24"/>
                <w:szCs w:val="24"/>
              </w:rPr>
              <w:t xml:space="preserve">• „Riigitee nr 92 Tartu-Viljandi-Kilingi-Nõmme km 48,48-48,62 lõigu muldkeha nõlva ümberehitamine. Põhiprojekt“ (Road-Expert OÜ, töö nr 21045). </w:t>
            </w:r>
          </w:p>
          <w:p w14:paraId="3A56E836" w14:textId="1C770996" w:rsidR="005B7DD9" w:rsidRPr="00BE3D86" w:rsidRDefault="005B7DD9" w:rsidP="009023E4">
            <w:pPr>
              <w:jc w:val="both"/>
              <w:rPr>
                <w:rFonts w:ascii="Times New Roman" w:hAnsi="Times New Roman" w:cs="Times New Roman"/>
                <w:sz w:val="24"/>
                <w:szCs w:val="24"/>
              </w:rPr>
            </w:pPr>
            <w:r w:rsidRPr="00BE3D86">
              <w:rPr>
                <w:rFonts w:ascii="Times New Roman" w:hAnsi="Times New Roman" w:cs="Times New Roman"/>
                <w:sz w:val="24"/>
                <w:szCs w:val="24"/>
              </w:rPr>
              <w:t xml:space="preserve">• Oiu Võitööstuse kinnistu detailplaneering (kehtestatud 25.03.2010). </w:t>
            </w:r>
          </w:p>
          <w:p w14:paraId="77FFE2E6" w14:textId="02671719" w:rsidR="00764847" w:rsidRPr="00BE3D86" w:rsidRDefault="0098510C" w:rsidP="009023E4">
            <w:pPr>
              <w:jc w:val="both"/>
              <w:rPr>
                <w:rFonts w:ascii="Times New Roman" w:hAnsi="Times New Roman" w:cs="Times New Roman"/>
                <w:sz w:val="24"/>
                <w:szCs w:val="24"/>
              </w:rPr>
            </w:pPr>
            <w:r w:rsidRPr="00BE3D86">
              <w:rPr>
                <w:rFonts w:ascii="Times New Roman" w:hAnsi="Times New Roman" w:cs="Times New Roman"/>
                <w:sz w:val="24"/>
                <w:szCs w:val="24"/>
              </w:rPr>
              <w:t>•</w:t>
            </w:r>
            <w:r w:rsidR="003E25AC" w:rsidRPr="00BE3D86">
              <w:rPr>
                <w:rFonts w:ascii="Times New Roman" w:hAnsi="Times New Roman" w:cs="Times New Roman"/>
                <w:sz w:val="24"/>
                <w:szCs w:val="24"/>
              </w:rPr>
              <w:t xml:space="preserve"> </w:t>
            </w:r>
            <w:r w:rsidR="00FA2D71" w:rsidRPr="00BE3D86">
              <w:rPr>
                <w:rFonts w:ascii="Times New Roman" w:hAnsi="Times New Roman" w:cs="Times New Roman"/>
                <w:sz w:val="24"/>
                <w:szCs w:val="24"/>
              </w:rPr>
              <w:t>Eeltoodut arvestades</w:t>
            </w:r>
            <w:r w:rsidR="00005734" w:rsidRPr="00BE3D86">
              <w:rPr>
                <w:rFonts w:ascii="Times New Roman" w:hAnsi="Times New Roman" w:cs="Times New Roman"/>
                <w:sz w:val="24"/>
                <w:szCs w:val="24"/>
              </w:rPr>
              <w:t xml:space="preserve"> </w:t>
            </w:r>
            <w:r w:rsidR="00A7465B" w:rsidRPr="00BE3D86">
              <w:rPr>
                <w:rFonts w:ascii="Times New Roman" w:hAnsi="Times New Roman" w:cs="Times New Roman"/>
                <w:sz w:val="24"/>
                <w:szCs w:val="24"/>
              </w:rPr>
              <w:t xml:space="preserve">hinnata planeeringu elluviimisega kaasnevat koosmõju. Vajadusel </w:t>
            </w:r>
            <w:r w:rsidR="007C77E3" w:rsidRPr="00BE3D86">
              <w:rPr>
                <w:rFonts w:ascii="Times New Roman" w:hAnsi="Times New Roman" w:cs="Times New Roman"/>
                <w:sz w:val="24"/>
                <w:szCs w:val="24"/>
              </w:rPr>
              <w:t xml:space="preserve">tuleb käesolevas </w:t>
            </w:r>
            <w:r w:rsidR="00A7465B" w:rsidRPr="00BE3D86">
              <w:rPr>
                <w:rFonts w:ascii="Times New Roman" w:hAnsi="Times New Roman" w:cs="Times New Roman"/>
                <w:sz w:val="24"/>
                <w:szCs w:val="24"/>
              </w:rPr>
              <w:t>detailplaneeringus määrata negatiivsete mõjude leevendamise meetmed</w:t>
            </w:r>
            <w:r w:rsidR="007C77E3" w:rsidRPr="00BE3D86">
              <w:rPr>
                <w:rFonts w:ascii="Times New Roman" w:hAnsi="Times New Roman" w:cs="Times New Roman"/>
                <w:sz w:val="24"/>
                <w:szCs w:val="24"/>
              </w:rPr>
              <w:t>.</w:t>
            </w:r>
          </w:p>
        </w:tc>
      </w:tr>
      <w:tr w:rsidR="00A826D2" w:rsidRPr="00BE3D86" w14:paraId="628D0293" w14:textId="77777777" w:rsidTr="00FB179D">
        <w:tc>
          <w:tcPr>
            <w:tcW w:w="704" w:type="dxa"/>
          </w:tcPr>
          <w:p w14:paraId="2681479E" w14:textId="52F93306"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3E25AC">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427B4F74" w:rsidR="00A826D2" w:rsidRPr="00BE3D86" w:rsidRDefault="00A826D2" w:rsidP="00007A60">
            <w:pPr>
              <w:jc w:val="both"/>
              <w:rPr>
                <w:rFonts w:ascii="Times New Roman" w:hAnsi="Times New Roman" w:cs="Times New Roman"/>
                <w:sz w:val="24"/>
                <w:szCs w:val="24"/>
              </w:rPr>
            </w:pPr>
            <w:r w:rsidRPr="00BE3D86">
              <w:rPr>
                <w:rFonts w:ascii="Times New Roman" w:hAnsi="Times New Roman" w:cs="Times New Roman"/>
                <w:sz w:val="24"/>
                <w:szCs w:val="24"/>
              </w:rPr>
              <w:t>•</w:t>
            </w:r>
            <w:r w:rsidR="003E25AC" w:rsidRPr="00BE3D86">
              <w:rPr>
                <w:rFonts w:ascii="Times New Roman" w:hAnsi="Times New Roman" w:cs="Times New Roman"/>
                <w:sz w:val="24"/>
                <w:szCs w:val="24"/>
              </w:rPr>
              <w:t xml:space="preserve"> </w:t>
            </w:r>
            <w:r w:rsidRPr="00BE3D86">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sidRPr="00BE3D86">
              <w:rPr>
                <w:rFonts w:ascii="Times New Roman" w:hAnsi="Times New Roman" w:cs="Times New Roman"/>
                <w:sz w:val="24"/>
                <w:szCs w:val="24"/>
              </w:rPr>
              <w:t> </w:t>
            </w:r>
            <w:r w:rsidRPr="00BE3D86">
              <w:rPr>
                <w:rFonts w:ascii="Times New Roman" w:hAnsi="Times New Roman" w:cs="Times New Roman"/>
                <w:sz w:val="24"/>
                <w:szCs w:val="24"/>
              </w:rPr>
              <w:t xml:space="preserve">1:500. Planeeringuala </w:t>
            </w:r>
            <w:proofErr w:type="spellStart"/>
            <w:r w:rsidRPr="00BE3D86">
              <w:rPr>
                <w:rFonts w:ascii="Times New Roman" w:hAnsi="Times New Roman" w:cs="Times New Roman"/>
                <w:sz w:val="24"/>
                <w:szCs w:val="24"/>
              </w:rPr>
              <w:t>topo</w:t>
            </w:r>
            <w:proofErr w:type="spellEnd"/>
            <w:r w:rsidRPr="00BE3D86">
              <w:rPr>
                <w:rFonts w:ascii="Times New Roman" w:hAnsi="Times New Roman" w:cs="Times New Roman"/>
                <w:sz w:val="24"/>
                <w:szCs w:val="24"/>
              </w:rPr>
              <w:t>-geodeetiline uuring peab vastama majandus- ja taristuministri 14.04.2016 määrusega nr 34 „</w:t>
            </w:r>
            <w:proofErr w:type="spellStart"/>
            <w:r w:rsidRPr="00BE3D86">
              <w:rPr>
                <w:rFonts w:ascii="Times New Roman" w:hAnsi="Times New Roman" w:cs="Times New Roman"/>
                <w:sz w:val="24"/>
                <w:szCs w:val="24"/>
              </w:rPr>
              <w:t>Topo</w:t>
            </w:r>
            <w:proofErr w:type="spellEnd"/>
            <w:r w:rsidRPr="00BE3D86">
              <w:rPr>
                <w:rFonts w:ascii="Times New Roman" w:hAnsi="Times New Roman" w:cs="Times New Roman"/>
                <w:sz w:val="24"/>
                <w:szCs w:val="24"/>
              </w:rPr>
              <w:t xml:space="preserve">-geodeetilisele uuringule ja </w:t>
            </w:r>
            <w:r w:rsidRPr="00BE3D86">
              <w:rPr>
                <w:rFonts w:ascii="Times New Roman" w:hAnsi="Times New Roman" w:cs="Times New Roman"/>
                <w:sz w:val="24"/>
                <w:szCs w:val="24"/>
              </w:rPr>
              <w:lastRenderedPageBreak/>
              <w:t>teostusmõõdistamisele esitatavad nõuded“ kehtestatud nõuetele. Geodeetiline alusplaan peab katma detailplaneeringuala ning vajadusel ka lähiala. Detailplaneeringu aluseks olev geodeetiline alusplaan peab olema mõõdistatud piisavas ulatuses, mis võimaldab hinnata planeeringulahenduse sobivust sh kavandatud sademevete ärajuhtimise süsteemi jms.</w:t>
            </w:r>
          </w:p>
          <w:p w14:paraId="4E2200EE" w14:textId="73004C39" w:rsidR="00A826D2" w:rsidRPr="00BE3D86" w:rsidRDefault="00A826D2" w:rsidP="00007A60">
            <w:pPr>
              <w:jc w:val="both"/>
              <w:rPr>
                <w:rFonts w:ascii="Times New Roman" w:hAnsi="Times New Roman" w:cs="Times New Roman"/>
                <w:sz w:val="24"/>
                <w:szCs w:val="24"/>
              </w:rPr>
            </w:pPr>
            <w:r w:rsidRPr="00BE3D86">
              <w:rPr>
                <w:rFonts w:ascii="Times New Roman" w:hAnsi="Times New Roman" w:cs="Times New Roman"/>
                <w:sz w:val="24"/>
                <w:szCs w:val="24"/>
              </w:rPr>
              <w:t>•</w:t>
            </w:r>
            <w:r w:rsidR="003E25AC" w:rsidRPr="00BE3D86">
              <w:rPr>
                <w:rFonts w:ascii="Times New Roman" w:hAnsi="Times New Roman" w:cs="Times New Roman"/>
                <w:sz w:val="24"/>
                <w:szCs w:val="24"/>
              </w:rPr>
              <w:t xml:space="preserve"> </w:t>
            </w:r>
            <w:r w:rsidRPr="00BE3D86">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w:t>
            </w:r>
            <w:r w:rsidR="00F847FC" w:rsidRPr="00BE3D86">
              <w:rPr>
                <w:rFonts w:ascii="Times New Roman" w:hAnsi="Times New Roman" w:cs="Times New Roman"/>
                <w:sz w:val="24"/>
                <w:szCs w:val="24"/>
              </w:rPr>
              <w:t>vastavalt vajadusele läbi viia. Uuringute eest tasumine on planeeringu koostamisest huvitatud isiku kohustus.</w:t>
            </w:r>
          </w:p>
          <w:p w14:paraId="07625614" w14:textId="640477CA" w:rsidR="009A783B" w:rsidRPr="00BE3D86" w:rsidRDefault="009A783B" w:rsidP="00007A60">
            <w:pPr>
              <w:jc w:val="both"/>
              <w:rPr>
                <w:rFonts w:ascii="Times New Roman" w:hAnsi="Times New Roman" w:cs="Times New Roman"/>
                <w:sz w:val="24"/>
                <w:szCs w:val="24"/>
              </w:rPr>
            </w:pPr>
            <w:r w:rsidRPr="00BE3D86">
              <w:rPr>
                <w:rFonts w:ascii="Times New Roman" w:hAnsi="Times New Roman" w:cs="Times New Roman"/>
                <w:sz w:val="24"/>
                <w:szCs w:val="24"/>
              </w:rPr>
              <w:t>• Arvesse tuleb võtta detailplaneeringu koostamisel piirkonna pinnase kõrget radooniriski</w:t>
            </w:r>
            <w:r w:rsidR="00F847FC" w:rsidRPr="00BE3D86">
              <w:rPr>
                <w:rFonts w:ascii="Times New Roman" w:hAnsi="Times New Roman" w:cs="Times New Roman"/>
                <w:sz w:val="24"/>
                <w:szCs w:val="24"/>
              </w:rPr>
              <w:t>.</w:t>
            </w:r>
          </w:p>
        </w:tc>
      </w:tr>
      <w:tr w:rsidR="00AB031B" w:rsidRPr="00BE3D86" w14:paraId="3C2B41DE" w14:textId="77777777" w:rsidTr="00346C75">
        <w:trPr>
          <w:trHeight w:val="3055"/>
        </w:trPr>
        <w:tc>
          <w:tcPr>
            <w:tcW w:w="704" w:type="dxa"/>
          </w:tcPr>
          <w:p w14:paraId="1C706FA3" w14:textId="25EDC73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3E25AC">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BE3D86" w:rsidRDefault="00A826D2" w:rsidP="00007A60">
            <w:pPr>
              <w:jc w:val="both"/>
              <w:rPr>
                <w:rFonts w:ascii="Times New Roman" w:hAnsi="Times New Roman" w:cs="Times New Roman"/>
                <w:sz w:val="24"/>
                <w:szCs w:val="24"/>
              </w:rPr>
            </w:pPr>
            <w:r w:rsidRPr="00BE3D86">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sidRPr="00BE3D86">
              <w:rPr>
                <w:rFonts w:ascii="Times New Roman" w:hAnsi="Times New Roman" w:cs="Times New Roman"/>
                <w:sz w:val="24"/>
                <w:szCs w:val="24"/>
              </w:rPr>
              <w:t>.</w:t>
            </w:r>
          </w:p>
          <w:p w14:paraId="226FF589" w14:textId="3E4B601D" w:rsidR="00AB031B" w:rsidRPr="00BE3D86" w:rsidRDefault="00A826D2" w:rsidP="00007A60">
            <w:pPr>
              <w:jc w:val="both"/>
              <w:rPr>
                <w:rFonts w:ascii="Times New Roman" w:hAnsi="Times New Roman" w:cs="Times New Roman"/>
                <w:sz w:val="24"/>
                <w:szCs w:val="24"/>
              </w:rPr>
            </w:pPr>
            <w:r w:rsidRPr="00BE3D86">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sidRPr="00BE3D86">
              <w:rPr>
                <w:rFonts w:ascii="Times New Roman" w:hAnsi="Times New Roman" w:cs="Times New Roman"/>
                <w:sz w:val="24"/>
                <w:szCs w:val="24"/>
              </w:rPr>
              <w:t>V</w:t>
            </w:r>
            <w:r w:rsidRPr="00BE3D86">
              <w:rPr>
                <w:rFonts w:ascii="Times New Roman" w:hAnsi="Times New Roman" w:cs="Times New Roman"/>
                <w:sz w:val="24"/>
                <w:szCs w:val="24"/>
              </w:rPr>
              <w:t>allavalitsusega on lubatud jooniste mõõtkava muuta.</w:t>
            </w:r>
          </w:p>
        </w:tc>
      </w:tr>
      <w:tr w:rsidR="003E25AC" w:rsidRPr="00BE3D86" w14:paraId="145552B4" w14:textId="77777777" w:rsidTr="003E25AC">
        <w:trPr>
          <w:trHeight w:val="734"/>
        </w:trPr>
        <w:tc>
          <w:tcPr>
            <w:tcW w:w="704" w:type="dxa"/>
          </w:tcPr>
          <w:p w14:paraId="38A39340" w14:textId="6ACE85DE" w:rsidR="003E25AC" w:rsidRDefault="003E25AC" w:rsidP="003E25AC">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7654CCB2" w14:textId="29EB0B99" w:rsidR="003E25AC" w:rsidRDefault="003E25AC" w:rsidP="003E25AC">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2E3DCFB0" w14:textId="305637A7" w:rsidR="003E25AC" w:rsidRPr="00BE3D86" w:rsidRDefault="00F847FC" w:rsidP="003E25AC">
            <w:pPr>
              <w:jc w:val="both"/>
              <w:rPr>
                <w:rFonts w:ascii="Times New Roman" w:hAnsi="Times New Roman" w:cs="Times New Roman"/>
                <w:sz w:val="24"/>
                <w:szCs w:val="24"/>
              </w:rPr>
            </w:pPr>
            <w:r w:rsidRPr="00BE3D86">
              <w:rPr>
                <w:rFonts w:ascii="Times New Roman" w:hAnsi="Times New Roman" w:cs="Times New Roman"/>
                <w:sz w:val="24"/>
                <w:szCs w:val="24"/>
              </w:rPr>
              <w:t>M</w:t>
            </w:r>
            <w:r w:rsidR="003E25AC" w:rsidRPr="00BE3D86">
              <w:rPr>
                <w:rFonts w:ascii="Times New Roman" w:hAnsi="Times New Roman" w:cs="Times New Roman"/>
                <w:sz w:val="24"/>
                <w:szCs w:val="24"/>
              </w:rPr>
              <w:t>äärata detailplaneeringuga.</w:t>
            </w:r>
          </w:p>
        </w:tc>
      </w:tr>
      <w:tr w:rsidR="003E25AC" w:rsidRPr="00BE3D86" w14:paraId="02B342C1" w14:textId="77777777" w:rsidTr="00970492">
        <w:trPr>
          <w:trHeight w:val="2062"/>
        </w:trPr>
        <w:tc>
          <w:tcPr>
            <w:tcW w:w="704" w:type="dxa"/>
          </w:tcPr>
          <w:p w14:paraId="5AC10E37" w14:textId="1726EFBF" w:rsidR="003E25AC" w:rsidRDefault="003E25AC" w:rsidP="003E25AC">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3E25AC" w:rsidRDefault="003E25AC" w:rsidP="003E25AC">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35B853DB" w14:textId="77777777" w:rsidR="003E25AC" w:rsidRPr="00BE3D86" w:rsidRDefault="003E25AC" w:rsidP="003E25AC">
            <w:pPr>
              <w:jc w:val="both"/>
              <w:rPr>
                <w:rFonts w:ascii="Times New Roman" w:hAnsi="Times New Roman" w:cs="Times New Roman"/>
                <w:sz w:val="24"/>
                <w:szCs w:val="24"/>
              </w:rPr>
            </w:pPr>
            <w:r w:rsidRPr="00BE3D86">
              <w:rPr>
                <w:rFonts w:ascii="Times New Roman" w:hAnsi="Times New Roman" w:cs="Times New Roman"/>
                <w:sz w:val="24"/>
                <w:szCs w:val="24"/>
              </w:rPr>
              <w:t>Detailplaneeringuga määrata hoonestusala, piiritledes krundi osa, kuhu võib püstitada ehitusõigusega lubatud hooneid ja rajatisi. Kõik ehitised peavad mahtuma hoonestusala sisse, kuna detailplaneeringu alas sees on võimalik määrata vajalike ehitiste ja rajatiste ehitusõigust. Detailplaneeringus seada tingimused ehitusloa/</w:t>
            </w:r>
            <w:r w:rsidR="00F847FC" w:rsidRPr="00BE3D86">
              <w:rPr>
                <w:rFonts w:ascii="Times New Roman" w:hAnsi="Times New Roman" w:cs="Times New Roman"/>
                <w:sz w:val="24"/>
                <w:szCs w:val="24"/>
              </w:rPr>
              <w:t xml:space="preserve"> </w:t>
            </w:r>
            <w:r w:rsidRPr="00BE3D86">
              <w:rPr>
                <w:rFonts w:ascii="Times New Roman" w:hAnsi="Times New Roman" w:cs="Times New Roman"/>
                <w:sz w:val="24"/>
                <w:szCs w:val="24"/>
              </w:rPr>
              <w:t>ehitusteatise kohustuseta ehitiste püstitamiseks.</w:t>
            </w:r>
          </w:p>
          <w:p w14:paraId="5037AB4B" w14:textId="4C82FF05" w:rsidR="00421637" w:rsidRPr="00BE3D86" w:rsidRDefault="00421637" w:rsidP="003E25AC">
            <w:pPr>
              <w:jc w:val="both"/>
              <w:rPr>
                <w:rFonts w:ascii="Times New Roman" w:hAnsi="Times New Roman" w:cs="Times New Roman"/>
                <w:sz w:val="24"/>
                <w:szCs w:val="24"/>
              </w:rPr>
            </w:pPr>
            <w:r w:rsidRPr="00BE3D86">
              <w:rPr>
                <w:rFonts w:ascii="Times New Roman" w:hAnsi="Times New Roman" w:cs="Times New Roman"/>
                <w:sz w:val="24"/>
                <w:szCs w:val="24"/>
              </w:rPr>
              <w:t>•</w:t>
            </w:r>
            <w:r w:rsidRPr="00BE3D86">
              <w:rPr>
                <w:rFonts w:ascii="Segoe UI" w:eastAsia="Times New Roman" w:hAnsi="Segoe UI" w:cs="Segoe UI"/>
                <w:sz w:val="21"/>
                <w:szCs w:val="21"/>
                <w:lang w:eastAsia="et-EE"/>
              </w:rPr>
              <w:t xml:space="preserve"> </w:t>
            </w:r>
            <w:r w:rsidRPr="00BE3D86">
              <w:rPr>
                <w:rFonts w:ascii="Times New Roman" w:hAnsi="Times New Roman" w:cs="Times New Roman"/>
                <w:sz w:val="24"/>
                <w:szCs w:val="24"/>
              </w:rPr>
              <w:t xml:space="preserve">Ehituskeeluvööndisse kavandatava iga ehitise asukohta tuleb sisuliselt põhjendada ning hinnata mõju ranna ja kalda kaitse eesmärkidele. </w:t>
            </w:r>
          </w:p>
        </w:tc>
      </w:tr>
      <w:tr w:rsidR="00F847FC" w:rsidRPr="00BE3D86" w14:paraId="658121DC" w14:textId="77777777" w:rsidTr="00F847FC">
        <w:trPr>
          <w:trHeight w:val="891"/>
        </w:trPr>
        <w:tc>
          <w:tcPr>
            <w:tcW w:w="704" w:type="dxa"/>
          </w:tcPr>
          <w:p w14:paraId="04206F95" w14:textId="40BC554F" w:rsidR="00F847FC" w:rsidRDefault="00F847FC" w:rsidP="00F847FC">
            <w:pP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6B6566BE" w14:textId="142180FB" w:rsidR="00F847FC" w:rsidRDefault="00F847FC" w:rsidP="00F847FC">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6" w:type="dxa"/>
          </w:tcPr>
          <w:p w14:paraId="2C236908" w14:textId="645DE962" w:rsidR="00F847FC" w:rsidRPr="00BE3D86" w:rsidRDefault="00F847FC" w:rsidP="00F847FC">
            <w:pPr>
              <w:jc w:val="both"/>
              <w:rPr>
                <w:rFonts w:ascii="Times New Roman" w:hAnsi="Times New Roman" w:cs="Times New Roman"/>
                <w:sz w:val="24"/>
                <w:szCs w:val="24"/>
              </w:rPr>
            </w:pPr>
            <w:r w:rsidRPr="00BE3D86">
              <w:rPr>
                <w:rFonts w:ascii="Times New Roman" w:hAnsi="Times New Roman" w:cs="Times New Roman"/>
                <w:sz w:val="24"/>
                <w:szCs w:val="24"/>
              </w:rPr>
              <w:t>Määrata detailplaneeringuga.</w:t>
            </w:r>
          </w:p>
        </w:tc>
      </w:tr>
      <w:tr w:rsidR="003E25AC" w:rsidRPr="00BE3D86" w14:paraId="6423CEAF" w14:textId="77777777" w:rsidTr="00FB179D">
        <w:tc>
          <w:tcPr>
            <w:tcW w:w="704" w:type="dxa"/>
          </w:tcPr>
          <w:p w14:paraId="02682CFF" w14:textId="2ADD14E8" w:rsidR="003E25AC" w:rsidRDefault="003E25AC" w:rsidP="003E25AC">
            <w:pPr>
              <w:rPr>
                <w:rFonts w:ascii="Times New Roman" w:hAnsi="Times New Roman" w:cs="Times New Roman"/>
                <w:sz w:val="24"/>
                <w:szCs w:val="24"/>
              </w:rPr>
            </w:pPr>
            <w:r>
              <w:rPr>
                <w:rFonts w:ascii="Times New Roman" w:hAnsi="Times New Roman" w:cs="Times New Roman"/>
                <w:sz w:val="24"/>
                <w:szCs w:val="24"/>
              </w:rPr>
              <w:t>2.</w:t>
            </w:r>
            <w:r w:rsidR="00F847FC">
              <w:rPr>
                <w:rFonts w:ascii="Times New Roman" w:hAnsi="Times New Roman" w:cs="Times New Roman"/>
                <w:sz w:val="24"/>
                <w:szCs w:val="24"/>
              </w:rPr>
              <w:t>8</w:t>
            </w:r>
          </w:p>
        </w:tc>
        <w:tc>
          <w:tcPr>
            <w:tcW w:w="2552" w:type="dxa"/>
          </w:tcPr>
          <w:p w14:paraId="7192DFF7" w14:textId="3132F231" w:rsidR="003E25AC" w:rsidRDefault="003E25AC" w:rsidP="003E25AC">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6682273A" w14:textId="77777777" w:rsidR="003E25AC" w:rsidRPr="00BE3D86" w:rsidRDefault="003E25AC" w:rsidP="003E25AC">
            <w:pPr>
              <w:jc w:val="both"/>
              <w:rPr>
                <w:rFonts w:ascii="Times New Roman" w:eastAsia="Times New Roman" w:hAnsi="Times New Roman" w:cs="Times New Roman"/>
                <w:sz w:val="24"/>
                <w:szCs w:val="24"/>
              </w:rPr>
            </w:pPr>
            <w:r w:rsidRPr="00BE3D86">
              <w:rPr>
                <w:rFonts w:ascii="Times New Roman" w:eastAsia="Times New Roman" w:hAnsi="Times New Roman" w:cs="Times New Roman"/>
                <w:sz w:val="24"/>
                <w:szCs w:val="24"/>
              </w:rPr>
              <w:t xml:space="preserve">Uute kavandatavate tehnovõrkude liitumise korral või olemasolevate tehnovõrkude liitumiskohtade muutmisel tuleb detailplaneeringu koostamiseks taotleda võrgu valdaja tehnilised tingimused. Väljastatavad tehnilised </w:t>
            </w:r>
            <w:r w:rsidRPr="00BE3D86">
              <w:rPr>
                <w:rFonts w:ascii="Times New Roman" w:eastAsia="Times New Roman" w:hAnsi="Times New Roman" w:cs="Times New Roman"/>
                <w:sz w:val="24"/>
                <w:szCs w:val="24"/>
              </w:rPr>
              <w:lastRenderedPageBreak/>
              <w:t>tingimused tuleb esitada detailplaneeringu lisade hulgas.</w:t>
            </w:r>
            <w:r w:rsidR="00F847FC" w:rsidRPr="00BE3D86">
              <w:rPr>
                <w:rFonts w:ascii="Times New Roman" w:eastAsia="Times New Roman" w:hAnsi="Times New Roman" w:cs="Times New Roman"/>
                <w:sz w:val="24"/>
                <w:szCs w:val="24"/>
              </w:rPr>
              <w:t xml:space="preserve"> Kui detailplaneeringu lahendus näeb ette avalikus kasutuses välisvalgustuse ja tehnorajatised, siis detailplaneeringu elluviimise tingimuseks on sellise taristu väljaehitamine arendaja kulul.</w:t>
            </w:r>
          </w:p>
          <w:p w14:paraId="2AA702D1" w14:textId="7431AF95" w:rsidR="00C305D7" w:rsidRPr="00BE3D86" w:rsidRDefault="00C305D7" w:rsidP="003E25AC">
            <w:pPr>
              <w:jc w:val="both"/>
              <w:rPr>
                <w:rFonts w:ascii="Times New Roman" w:hAnsi="Times New Roman" w:cs="Times New Roman"/>
                <w:sz w:val="24"/>
                <w:szCs w:val="24"/>
              </w:rPr>
            </w:pPr>
            <w:r w:rsidRPr="00BE3D86">
              <w:rPr>
                <w:rFonts w:ascii="Times New Roman" w:hAnsi="Times New Roman" w:cs="Times New Roman"/>
                <w:sz w:val="24"/>
                <w:szCs w:val="24"/>
              </w:rPr>
              <w:t>•</w:t>
            </w:r>
            <w:r w:rsidR="00CA40A9" w:rsidRPr="00BE3D86">
              <w:rPr>
                <w:rFonts w:ascii="Times New Roman" w:hAnsi="Times New Roman" w:cs="Times New Roman"/>
                <w:sz w:val="24"/>
                <w:szCs w:val="24"/>
              </w:rPr>
              <w:t xml:space="preserve"> </w:t>
            </w:r>
            <w:r w:rsidRPr="00BE3D86">
              <w:rPr>
                <w:rFonts w:ascii="Times New Roman" w:hAnsi="Times New Roman" w:cs="Times New Roman"/>
                <w:sz w:val="24"/>
                <w:szCs w:val="24"/>
              </w:rPr>
              <w:t xml:space="preserve">Sademevee </w:t>
            </w:r>
            <w:r w:rsidR="0061500B" w:rsidRPr="00BE3D86">
              <w:rPr>
                <w:rFonts w:ascii="Times New Roman" w:hAnsi="Times New Roman" w:cs="Times New Roman"/>
                <w:sz w:val="24"/>
                <w:szCs w:val="24"/>
              </w:rPr>
              <w:t>ning</w:t>
            </w:r>
            <w:r w:rsidRPr="00BE3D86">
              <w:rPr>
                <w:rFonts w:ascii="Times New Roman" w:hAnsi="Times New Roman" w:cs="Times New Roman"/>
                <w:sz w:val="24"/>
                <w:szCs w:val="24"/>
              </w:rPr>
              <w:t xml:space="preserve"> vajadusel heitvee suublasse juhtimise</w:t>
            </w:r>
            <w:r w:rsidR="0061500B" w:rsidRPr="00BE3D86">
              <w:rPr>
                <w:rFonts w:ascii="Times New Roman" w:hAnsi="Times New Roman" w:cs="Times New Roman"/>
                <w:sz w:val="24"/>
                <w:szCs w:val="24"/>
              </w:rPr>
              <w:t xml:space="preserve"> korral</w:t>
            </w:r>
            <w:r w:rsidRPr="00BE3D86">
              <w:rPr>
                <w:rFonts w:ascii="Times New Roman" w:hAnsi="Times New Roman" w:cs="Times New Roman"/>
                <w:sz w:val="24"/>
                <w:szCs w:val="24"/>
              </w:rPr>
              <w:t xml:space="preserve"> tuleb detailplaneeringu seletuskirjas käsitleda suublasse juhitava vee kogust ja kvaliteeti ning võimalikku mõju suublale.</w:t>
            </w:r>
          </w:p>
        </w:tc>
      </w:tr>
      <w:tr w:rsidR="003E25AC" w14:paraId="5411A210" w14:textId="77777777" w:rsidTr="00FB179D">
        <w:tc>
          <w:tcPr>
            <w:tcW w:w="704" w:type="dxa"/>
          </w:tcPr>
          <w:p w14:paraId="4CBD09B5" w14:textId="54EEB62E" w:rsidR="003E25AC" w:rsidRDefault="003E25AC" w:rsidP="003E25AC">
            <w:pPr>
              <w:rPr>
                <w:rFonts w:ascii="Times New Roman" w:hAnsi="Times New Roman" w:cs="Times New Roman"/>
                <w:sz w:val="24"/>
                <w:szCs w:val="24"/>
              </w:rPr>
            </w:pPr>
            <w:r>
              <w:rPr>
                <w:rFonts w:ascii="Times New Roman" w:hAnsi="Times New Roman" w:cs="Times New Roman"/>
                <w:sz w:val="24"/>
                <w:szCs w:val="24"/>
              </w:rPr>
              <w:lastRenderedPageBreak/>
              <w:t>2.</w:t>
            </w:r>
            <w:r w:rsidR="00F847FC">
              <w:rPr>
                <w:rFonts w:ascii="Times New Roman" w:hAnsi="Times New Roman" w:cs="Times New Roman"/>
                <w:sz w:val="24"/>
                <w:szCs w:val="24"/>
              </w:rPr>
              <w:t>9</w:t>
            </w:r>
          </w:p>
        </w:tc>
        <w:tc>
          <w:tcPr>
            <w:tcW w:w="2552" w:type="dxa"/>
          </w:tcPr>
          <w:p w14:paraId="0B2A4172" w14:textId="6F89E7E2" w:rsidR="003E25AC" w:rsidRDefault="003E25AC" w:rsidP="003E25AC">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722E5603" w14:textId="77777777" w:rsidR="003E25AC" w:rsidRPr="00BE3D86" w:rsidRDefault="003E25AC" w:rsidP="003E25AC">
            <w:pPr>
              <w:jc w:val="both"/>
              <w:rPr>
                <w:rFonts w:ascii="Times New Roman" w:hAnsi="Times New Roman" w:cs="Times New Roman"/>
                <w:sz w:val="24"/>
                <w:szCs w:val="24"/>
              </w:rPr>
            </w:pPr>
            <w:r w:rsidRPr="00BE3D86">
              <w:rPr>
                <w:rFonts w:ascii="Times New Roman" w:hAnsi="Times New Roman" w:cs="Times New Roman"/>
                <w:sz w:val="24"/>
                <w:szCs w:val="24"/>
              </w:rPr>
              <w:t>Määrata detailplaneeringuga. Kui detailplaneeringuga kavandatakse planeeringualale avalikuks kasutamiseks ette nähtud tee ja sellega seotud rajatised, siis planeeringu elluviimise tingimuseks on nende väljaehitamine arendaja kulul.</w:t>
            </w:r>
          </w:p>
          <w:p w14:paraId="0E0479BE" w14:textId="3129DF3D" w:rsidR="009023E4" w:rsidRPr="00BE3D86" w:rsidRDefault="009023E4" w:rsidP="003E25AC">
            <w:pPr>
              <w:jc w:val="both"/>
              <w:rPr>
                <w:rFonts w:ascii="Times New Roman" w:hAnsi="Times New Roman" w:cs="Times New Roman"/>
                <w:sz w:val="24"/>
                <w:szCs w:val="24"/>
              </w:rPr>
            </w:pPr>
            <w:r w:rsidRPr="00BE3D86">
              <w:rPr>
                <w:rFonts w:ascii="Times New Roman" w:hAnsi="Times New Roman" w:cs="Times New Roman"/>
                <w:sz w:val="24"/>
                <w:szCs w:val="24"/>
              </w:rPr>
              <w:t>•</w:t>
            </w:r>
            <w:r w:rsidR="00CA40A9" w:rsidRPr="00BE3D86">
              <w:rPr>
                <w:rFonts w:ascii="Times New Roman" w:hAnsi="Times New Roman" w:cs="Times New Roman"/>
                <w:sz w:val="24"/>
                <w:szCs w:val="24"/>
              </w:rPr>
              <w:t xml:space="preserve"> </w:t>
            </w:r>
            <w:r w:rsidRPr="00BE3D86">
              <w:rPr>
                <w:rFonts w:ascii="Times New Roman" w:hAnsi="Times New Roman" w:cs="Times New Roman"/>
                <w:sz w:val="24"/>
                <w:szCs w:val="24"/>
              </w:rPr>
              <w:t>Arvestada Transpordiameti esitatud tingimustega.</w:t>
            </w:r>
          </w:p>
          <w:p w14:paraId="6F1D59F9" w14:textId="39DCBC41" w:rsidR="0086338D" w:rsidRPr="00BE3D86" w:rsidRDefault="0086338D" w:rsidP="003E25AC">
            <w:pPr>
              <w:jc w:val="both"/>
              <w:rPr>
                <w:rFonts w:ascii="Times New Roman" w:hAnsi="Times New Roman" w:cs="Times New Roman"/>
                <w:sz w:val="24"/>
                <w:szCs w:val="24"/>
              </w:rPr>
            </w:pPr>
            <w:r w:rsidRPr="00BE3D86">
              <w:rPr>
                <w:rFonts w:ascii="Times New Roman" w:hAnsi="Times New Roman" w:cs="Times New Roman"/>
                <w:sz w:val="24"/>
                <w:szCs w:val="24"/>
              </w:rPr>
              <w:t>•</w:t>
            </w:r>
            <w:r w:rsidR="00CA40A9" w:rsidRPr="00BE3D86">
              <w:rPr>
                <w:rFonts w:ascii="Times New Roman" w:hAnsi="Times New Roman" w:cs="Times New Roman"/>
                <w:sz w:val="24"/>
                <w:szCs w:val="24"/>
              </w:rPr>
              <w:t xml:space="preserve"> </w:t>
            </w:r>
            <w:r w:rsidR="00532D1C" w:rsidRPr="00BE3D86">
              <w:rPr>
                <w:rFonts w:ascii="Times New Roman" w:hAnsi="Times New Roman" w:cs="Times New Roman"/>
                <w:sz w:val="24"/>
                <w:szCs w:val="24"/>
              </w:rPr>
              <w:t xml:space="preserve">Planeeringujoonistel </w:t>
            </w:r>
            <w:r w:rsidR="00992DCB" w:rsidRPr="00BE3D86">
              <w:rPr>
                <w:rFonts w:ascii="Times New Roman" w:hAnsi="Times New Roman" w:cs="Times New Roman"/>
                <w:sz w:val="24"/>
                <w:szCs w:val="24"/>
              </w:rPr>
              <w:t xml:space="preserve">tuleb </w:t>
            </w:r>
            <w:r w:rsidR="00532D1C" w:rsidRPr="00BE3D86">
              <w:rPr>
                <w:rFonts w:ascii="Times New Roman" w:hAnsi="Times New Roman" w:cs="Times New Roman"/>
                <w:sz w:val="24"/>
                <w:szCs w:val="24"/>
              </w:rPr>
              <w:t xml:space="preserve">kajastada planeeringuala vastaskaldal paikneva </w:t>
            </w:r>
            <w:r w:rsidRPr="00BE3D86">
              <w:rPr>
                <w:rFonts w:ascii="Times New Roman" w:hAnsi="Times New Roman" w:cs="Times New Roman"/>
                <w:sz w:val="24"/>
                <w:szCs w:val="24"/>
              </w:rPr>
              <w:t>Oiu sadama tegelik ujuvkaide paigutus ja seal silduva</w:t>
            </w:r>
            <w:r w:rsidR="00992DCB" w:rsidRPr="00BE3D86">
              <w:rPr>
                <w:rFonts w:ascii="Times New Roman" w:hAnsi="Times New Roman" w:cs="Times New Roman"/>
                <w:sz w:val="24"/>
                <w:szCs w:val="24"/>
              </w:rPr>
              <w:t>d</w:t>
            </w:r>
            <w:r w:rsidRPr="00BE3D86">
              <w:rPr>
                <w:rFonts w:ascii="Times New Roman" w:hAnsi="Times New Roman" w:cs="Times New Roman"/>
                <w:sz w:val="24"/>
                <w:szCs w:val="24"/>
              </w:rPr>
              <w:t xml:space="preserve"> alus</w:t>
            </w:r>
            <w:r w:rsidR="00992DCB" w:rsidRPr="00BE3D86">
              <w:rPr>
                <w:rFonts w:ascii="Times New Roman" w:hAnsi="Times New Roman" w:cs="Times New Roman"/>
                <w:sz w:val="24"/>
                <w:szCs w:val="24"/>
              </w:rPr>
              <w:t>ed.</w:t>
            </w:r>
            <w:r w:rsidRPr="00BE3D86">
              <w:rPr>
                <w:rFonts w:ascii="Times New Roman" w:hAnsi="Times New Roman" w:cs="Times New Roman"/>
                <w:sz w:val="24"/>
                <w:szCs w:val="24"/>
              </w:rPr>
              <w:t xml:space="preserve"> </w:t>
            </w:r>
            <w:r w:rsidR="00992DCB" w:rsidRPr="00BE3D86">
              <w:rPr>
                <w:rFonts w:ascii="Times New Roman" w:hAnsi="Times New Roman" w:cs="Times New Roman"/>
                <w:sz w:val="24"/>
                <w:szCs w:val="24"/>
              </w:rPr>
              <w:t xml:space="preserve">Planeeringulahenduse koostamisel tuleb hinnata kavandatava </w:t>
            </w:r>
            <w:r w:rsidRPr="00BE3D86">
              <w:rPr>
                <w:rFonts w:ascii="Times New Roman" w:hAnsi="Times New Roman" w:cs="Times New Roman"/>
                <w:sz w:val="24"/>
                <w:szCs w:val="24"/>
              </w:rPr>
              <w:t>sadama/ujuvkaide mõju jõel liiklemisele ja manööverdamisvõimalustele</w:t>
            </w:r>
            <w:r w:rsidR="00992DCB" w:rsidRPr="00BE3D86">
              <w:rPr>
                <w:rFonts w:ascii="Times New Roman" w:hAnsi="Times New Roman" w:cs="Times New Roman"/>
                <w:sz w:val="24"/>
                <w:szCs w:val="24"/>
              </w:rPr>
              <w:t xml:space="preserve"> ning </w:t>
            </w:r>
            <w:r w:rsidRPr="00BE3D86">
              <w:rPr>
                <w:rFonts w:ascii="Times New Roman" w:hAnsi="Times New Roman" w:cs="Times New Roman"/>
                <w:sz w:val="24"/>
                <w:szCs w:val="24"/>
              </w:rPr>
              <w:t>kahe sadama silduvate aluste vahele jääva ruumi piisavust.</w:t>
            </w:r>
          </w:p>
        </w:tc>
      </w:tr>
      <w:tr w:rsidR="003E25AC" w14:paraId="03277B2A" w14:textId="77777777" w:rsidTr="00F847FC">
        <w:trPr>
          <w:trHeight w:val="876"/>
        </w:trPr>
        <w:tc>
          <w:tcPr>
            <w:tcW w:w="704" w:type="dxa"/>
          </w:tcPr>
          <w:p w14:paraId="43831C59" w14:textId="3F28EC84" w:rsidR="003E25AC" w:rsidRDefault="003E25AC" w:rsidP="003E25AC">
            <w:pPr>
              <w:rPr>
                <w:rFonts w:ascii="Times New Roman" w:hAnsi="Times New Roman" w:cs="Times New Roman"/>
                <w:sz w:val="24"/>
                <w:szCs w:val="24"/>
              </w:rPr>
            </w:pPr>
            <w:r>
              <w:rPr>
                <w:rFonts w:ascii="Times New Roman" w:hAnsi="Times New Roman" w:cs="Times New Roman"/>
                <w:sz w:val="24"/>
                <w:szCs w:val="24"/>
              </w:rPr>
              <w:t>2.</w:t>
            </w:r>
            <w:r w:rsidR="00F847FC">
              <w:rPr>
                <w:rFonts w:ascii="Times New Roman" w:hAnsi="Times New Roman" w:cs="Times New Roman"/>
                <w:sz w:val="24"/>
                <w:szCs w:val="24"/>
              </w:rPr>
              <w:t>10</w:t>
            </w:r>
          </w:p>
        </w:tc>
        <w:tc>
          <w:tcPr>
            <w:tcW w:w="2552" w:type="dxa"/>
          </w:tcPr>
          <w:p w14:paraId="17E368B0" w14:textId="462B08C6" w:rsidR="003E25AC" w:rsidRDefault="003E25AC" w:rsidP="003E25AC">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05199897" w:rsidR="003E25AC" w:rsidRPr="00BE3D86" w:rsidRDefault="003E25AC" w:rsidP="003E25AC">
            <w:pPr>
              <w:jc w:val="both"/>
              <w:rPr>
                <w:rFonts w:ascii="Times New Roman" w:hAnsi="Times New Roman" w:cs="Times New Roman"/>
                <w:sz w:val="24"/>
                <w:szCs w:val="24"/>
              </w:rPr>
            </w:pPr>
            <w:r w:rsidRPr="00BE3D86">
              <w:rPr>
                <w:rFonts w:ascii="Times New Roman" w:hAnsi="Times New Roman" w:cs="Times New Roman"/>
                <w:sz w:val="24"/>
                <w:szCs w:val="24"/>
              </w:rPr>
              <w:t>Määrata detailplaneeringuga.</w:t>
            </w:r>
            <w:r w:rsidR="00F847FC" w:rsidRPr="00BE3D86">
              <w:rPr>
                <w:rFonts w:ascii="Times New Roman" w:hAnsi="Times New Roman" w:cs="Times New Roman"/>
                <w:sz w:val="24"/>
                <w:szCs w:val="24"/>
              </w:rPr>
              <w:t xml:space="preserve"> Kui detailplaneeringuga kavandatakse avalikus kasutuses olevaid haljasalasid, siis on nende rajamine arendaja/krundi omaniku kohustus.</w:t>
            </w:r>
          </w:p>
        </w:tc>
      </w:tr>
      <w:tr w:rsidR="003E25AC" w14:paraId="7CC29AA1" w14:textId="77777777" w:rsidTr="00FB179D">
        <w:tc>
          <w:tcPr>
            <w:tcW w:w="704" w:type="dxa"/>
          </w:tcPr>
          <w:p w14:paraId="1CACBA53" w14:textId="4A1BAB76"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1</w:t>
            </w:r>
          </w:p>
        </w:tc>
        <w:tc>
          <w:tcPr>
            <w:tcW w:w="2552" w:type="dxa"/>
          </w:tcPr>
          <w:p w14:paraId="2974C13F" w14:textId="03922E61" w:rsidR="003E25AC" w:rsidRDefault="003E25AC" w:rsidP="003E25AC">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3E25AC" w:rsidRPr="00BE3D86" w:rsidRDefault="003E25AC" w:rsidP="003E25AC">
            <w:pPr>
              <w:jc w:val="both"/>
              <w:rPr>
                <w:rFonts w:ascii="Times New Roman" w:hAnsi="Times New Roman" w:cs="Times New Roman"/>
                <w:sz w:val="24"/>
                <w:szCs w:val="24"/>
              </w:rPr>
            </w:pPr>
            <w:r w:rsidRPr="00BE3D86">
              <w:rPr>
                <w:rFonts w:ascii="Times New Roman" w:hAnsi="Times New Roman" w:cs="Times New Roman"/>
                <w:sz w:val="24"/>
                <w:szCs w:val="24"/>
              </w:rPr>
              <w:t>Piirdeaedade/hekkide vajadus ja tingimused näha ette detailplaneeringuga.</w:t>
            </w:r>
          </w:p>
        </w:tc>
      </w:tr>
      <w:tr w:rsidR="005A069E" w14:paraId="61089B6A" w14:textId="77777777" w:rsidTr="005A069E">
        <w:trPr>
          <w:trHeight w:val="670"/>
        </w:trPr>
        <w:tc>
          <w:tcPr>
            <w:tcW w:w="704" w:type="dxa"/>
          </w:tcPr>
          <w:p w14:paraId="5C7C44C9" w14:textId="6FD23179" w:rsidR="005A069E" w:rsidRDefault="005A069E" w:rsidP="005A069E">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2667C5A9" w14:textId="3FD66096" w:rsidR="005A069E" w:rsidRDefault="005A069E" w:rsidP="005A069E">
            <w:pPr>
              <w:rPr>
                <w:rFonts w:ascii="Times New Roman" w:hAnsi="Times New Roman" w:cs="Times New Roman"/>
                <w:sz w:val="24"/>
                <w:szCs w:val="24"/>
              </w:rPr>
            </w:pPr>
            <w:r>
              <w:rPr>
                <w:rFonts w:ascii="Times New Roman" w:hAnsi="Times New Roman" w:cs="Times New Roman"/>
                <w:sz w:val="24"/>
                <w:szCs w:val="24"/>
              </w:rPr>
              <w:t>Servituudi seadmise vajadus</w:t>
            </w:r>
          </w:p>
        </w:tc>
        <w:tc>
          <w:tcPr>
            <w:tcW w:w="5806" w:type="dxa"/>
          </w:tcPr>
          <w:p w14:paraId="7616BAC9" w14:textId="1E44208D" w:rsidR="005A069E" w:rsidRPr="00BE3D86" w:rsidRDefault="005A069E" w:rsidP="005A069E">
            <w:pPr>
              <w:jc w:val="both"/>
              <w:rPr>
                <w:rFonts w:ascii="Times New Roman" w:hAnsi="Times New Roman" w:cs="Times New Roman"/>
                <w:sz w:val="24"/>
                <w:szCs w:val="24"/>
              </w:rPr>
            </w:pPr>
            <w:r w:rsidRPr="00BE3D86">
              <w:rPr>
                <w:rFonts w:ascii="Times New Roman" w:hAnsi="Times New Roman" w:cs="Times New Roman"/>
                <w:sz w:val="24"/>
                <w:szCs w:val="24"/>
              </w:rPr>
              <w:t>Vajadusel näha ette detailplaneeringuga.</w:t>
            </w:r>
          </w:p>
        </w:tc>
      </w:tr>
      <w:tr w:rsidR="005A069E" w14:paraId="0B134C98" w14:textId="77777777" w:rsidTr="005A069E">
        <w:trPr>
          <w:trHeight w:val="1237"/>
        </w:trPr>
        <w:tc>
          <w:tcPr>
            <w:tcW w:w="704" w:type="dxa"/>
          </w:tcPr>
          <w:p w14:paraId="6BCB159C" w14:textId="1E5321AE" w:rsidR="005A069E" w:rsidRDefault="005A069E" w:rsidP="005A069E">
            <w:pPr>
              <w:rPr>
                <w:rFonts w:ascii="Times New Roman" w:hAnsi="Times New Roman" w:cs="Times New Roman"/>
                <w:sz w:val="24"/>
                <w:szCs w:val="24"/>
              </w:rPr>
            </w:pPr>
            <w:r>
              <w:rPr>
                <w:rFonts w:ascii="Times New Roman" w:hAnsi="Times New Roman" w:cs="Times New Roman"/>
                <w:sz w:val="24"/>
                <w:szCs w:val="24"/>
              </w:rPr>
              <w:t xml:space="preserve">2.13 </w:t>
            </w:r>
          </w:p>
        </w:tc>
        <w:tc>
          <w:tcPr>
            <w:tcW w:w="2552" w:type="dxa"/>
          </w:tcPr>
          <w:p w14:paraId="69090552" w14:textId="470626C7" w:rsidR="005A069E" w:rsidRDefault="005A069E" w:rsidP="005A069E">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34CDBFF4" w:rsidR="005A069E" w:rsidRPr="00BE3D86" w:rsidRDefault="005A069E" w:rsidP="005A069E">
            <w:pPr>
              <w:jc w:val="both"/>
              <w:rPr>
                <w:rFonts w:ascii="Times New Roman" w:hAnsi="Times New Roman" w:cs="Times New Roman"/>
                <w:sz w:val="24"/>
                <w:szCs w:val="24"/>
              </w:rPr>
            </w:pPr>
            <w:r w:rsidRPr="00BE3D86">
              <w:rPr>
                <w:rFonts w:ascii="Times New Roman" w:hAnsi="Times New Roman" w:cs="Times New Roman"/>
                <w:sz w:val="24"/>
                <w:szCs w:val="24"/>
              </w:rPr>
              <w:t xml:space="preserve">Detailplaneeringu eelnõu (eskiisi) koostamine on kohustuslik. Eelnõu põhjal hindab Viljandi Vallavalitsus täiendavalt isikute kaasamise vajadust. Eskiis tuleb esitada </w:t>
            </w:r>
            <w:r w:rsidR="00CA40A9" w:rsidRPr="00BE3D86">
              <w:rPr>
                <w:rFonts w:ascii="Times New Roman" w:hAnsi="Times New Roman" w:cs="Times New Roman"/>
                <w:sz w:val="24"/>
                <w:szCs w:val="24"/>
              </w:rPr>
              <w:t>digitaalselt</w:t>
            </w:r>
            <w:r w:rsidRPr="00BE3D86">
              <w:rPr>
                <w:rFonts w:ascii="Times New Roman" w:hAnsi="Times New Roman" w:cs="Times New Roman"/>
                <w:sz w:val="24"/>
                <w:szCs w:val="24"/>
              </w:rPr>
              <w:t xml:space="preserve"> omavalitsusele.</w:t>
            </w:r>
          </w:p>
        </w:tc>
      </w:tr>
      <w:tr w:rsidR="005A069E" w14:paraId="59D57E32" w14:textId="77777777" w:rsidTr="005A069E">
        <w:trPr>
          <w:trHeight w:val="583"/>
        </w:trPr>
        <w:tc>
          <w:tcPr>
            <w:tcW w:w="704" w:type="dxa"/>
          </w:tcPr>
          <w:p w14:paraId="35470EE6" w14:textId="5E841C26" w:rsidR="005A069E" w:rsidRDefault="005A069E" w:rsidP="005A069E">
            <w:pPr>
              <w:rPr>
                <w:rFonts w:ascii="Times New Roman" w:hAnsi="Times New Roman" w:cs="Times New Roman"/>
                <w:sz w:val="24"/>
                <w:szCs w:val="24"/>
              </w:rPr>
            </w:pPr>
            <w:r>
              <w:rPr>
                <w:rFonts w:ascii="Times New Roman" w:hAnsi="Times New Roman" w:cs="Times New Roman"/>
                <w:sz w:val="24"/>
                <w:szCs w:val="24"/>
              </w:rPr>
              <w:t>2.14</w:t>
            </w:r>
          </w:p>
        </w:tc>
        <w:tc>
          <w:tcPr>
            <w:tcW w:w="2552" w:type="dxa"/>
          </w:tcPr>
          <w:p w14:paraId="02136CDE" w14:textId="0D38B6D3" w:rsidR="005A069E" w:rsidRDefault="005A069E" w:rsidP="005A069E">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3E4435EC" w14:textId="53CA6809" w:rsidR="005A069E" w:rsidRPr="00BE3D86" w:rsidRDefault="005A069E" w:rsidP="005A069E">
            <w:pPr>
              <w:jc w:val="both"/>
              <w:rPr>
                <w:rFonts w:ascii="Times New Roman" w:hAnsi="Times New Roman" w:cs="Times New Roman"/>
                <w:sz w:val="24"/>
                <w:szCs w:val="24"/>
              </w:rPr>
            </w:pPr>
            <w:r w:rsidRPr="00BE3D86">
              <w:rPr>
                <w:rFonts w:ascii="Times New Roman" w:hAnsi="Times New Roman" w:cs="Times New Roman"/>
                <w:sz w:val="24"/>
                <w:szCs w:val="24"/>
              </w:rPr>
              <w:t>Detailplaneeringu eelnõu lisana tuleb koostada vähemalt üks 3D joonis.</w:t>
            </w:r>
          </w:p>
        </w:tc>
      </w:tr>
      <w:tr w:rsidR="005A069E" w14:paraId="52940ECE" w14:textId="77777777" w:rsidTr="00FB179D">
        <w:tc>
          <w:tcPr>
            <w:tcW w:w="704" w:type="dxa"/>
          </w:tcPr>
          <w:p w14:paraId="702DC784" w14:textId="66A29931" w:rsidR="005A069E" w:rsidRDefault="005A069E" w:rsidP="005A069E">
            <w:pPr>
              <w:rPr>
                <w:rFonts w:ascii="Times New Roman" w:hAnsi="Times New Roman" w:cs="Times New Roman"/>
                <w:sz w:val="24"/>
                <w:szCs w:val="24"/>
              </w:rPr>
            </w:pPr>
            <w:r>
              <w:rPr>
                <w:rFonts w:ascii="Times New Roman" w:hAnsi="Times New Roman" w:cs="Times New Roman"/>
                <w:sz w:val="24"/>
                <w:szCs w:val="24"/>
              </w:rPr>
              <w:t>2.15</w:t>
            </w:r>
          </w:p>
        </w:tc>
        <w:tc>
          <w:tcPr>
            <w:tcW w:w="2552" w:type="dxa"/>
          </w:tcPr>
          <w:p w14:paraId="274BFC01" w14:textId="7D75961B" w:rsidR="005A069E" w:rsidRDefault="005A069E" w:rsidP="005A069E">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7AF997D4" w:rsidR="005A069E" w:rsidRPr="00BE3D86" w:rsidRDefault="005A069E" w:rsidP="005A069E">
            <w:pPr>
              <w:jc w:val="both"/>
              <w:rPr>
                <w:rFonts w:ascii="Times New Roman" w:hAnsi="Times New Roman" w:cs="Times New Roman"/>
                <w:sz w:val="24"/>
                <w:szCs w:val="24"/>
              </w:rPr>
            </w:pPr>
            <w:r w:rsidRPr="00BE3D86">
              <w:rPr>
                <w:rFonts w:ascii="Times New Roman" w:hAnsi="Times New Roman" w:cs="Times New Roman"/>
                <w:sz w:val="24"/>
                <w:szCs w:val="24"/>
              </w:rPr>
              <w:t xml:space="preserve">Vastuvõtmiseks ja avaliku väljapaneku korraldamiseks esitatakse planeeringu seletuskiri ja nõutud joonised </w:t>
            </w:r>
            <w:r w:rsidR="00CA40A9" w:rsidRPr="00BE3D86">
              <w:rPr>
                <w:rFonts w:ascii="Times New Roman" w:hAnsi="Times New Roman" w:cs="Times New Roman"/>
                <w:sz w:val="24"/>
                <w:szCs w:val="24"/>
              </w:rPr>
              <w:t>digitaalselt</w:t>
            </w:r>
            <w:r w:rsidRPr="00BE3D86">
              <w:rPr>
                <w:rFonts w:ascii="Times New Roman" w:hAnsi="Times New Roman" w:cs="Times New Roman"/>
                <w:sz w:val="24"/>
                <w:szCs w:val="24"/>
              </w:rPr>
              <w:t xml:space="preserve"> koos tehnovõrkude valdajate arvamusega ning muu planeeringu koostamise dokumentatsiooniga.</w:t>
            </w:r>
          </w:p>
        </w:tc>
      </w:tr>
      <w:tr w:rsidR="005A069E" w14:paraId="37DF3DFD" w14:textId="77777777" w:rsidTr="00FB179D">
        <w:tc>
          <w:tcPr>
            <w:tcW w:w="704" w:type="dxa"/>
          </w:tcPr>
          <w:p w14:paraId="6AEBAE60" w14:textId="3C2EDE69" w:rsidR="005A069E" w:rsidRDefault="005A069E" w:rsidP="005A069E">
            <w:pPr>
              <w:rPr>
                <w:rFonts w:ascii="Times New Roman" w:hAnsi="Times New Roman" w:cs="Times New Roman"/>
                <w:sz w:val="24"/>
                <w:szCs w:val="24"/>
              </w:rPr>
            </w:pPr>
            <w:r>
              <w:rPr>
                <w:rFonts w:ascii="Times New Roman" w:hAnsi="Times New Roman" w:cs="Times New Roman"/>
                <w:sz w:val="24"/>
                <w:szCs w:val="24"/>
              </w:rPr>
              <w:t>2.16</w:t>
            </w:r>
          </w:p>
        </w:tc>
        <w:tc>
          <w:tcPr>
            <w:tcW w:w="2552" w:type="dxa"/>
          </w:tcPr>
          <w:p w14:paraId="6E8D7EA0" w14:textId="3696DEA9" w:rsidR="005A069E" w:rsidRDefault="005A069E" w:rsidP="005A069E">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4D246788" w:rsidR="005A069E" w:rsidRPr="00BE3D86" w:rsidRDefault="005A069E" w:rsidP="005A069E">
            <w:pPr>
              <w:contextualSpacing/>
              <w:jc w:val="both"/>
              <w:rPr>
                <w:rFonts w:ascii="Times New Roman" w:hAnsi="Times New Roman" w:cs="Times New Roman"/>
                <w:sz w:val="24"/>
                <w:szCs w:val="24"/>
              </w:rPr>
            </w:pPr>
            <w:r w:rsidRPr="00BE3D86">
              <w:rPr>
                <w:rFonts w:ascii="Times New Roman" w:eastAsia="Times New Roman" w:hAnsi="Times New Roman" w:cs="Times New Roman"/>
                <w:sz w:val="24"/>
                <w:szCs w:val="24"/>
              </w:rPr>
              <w:t xml:space="preserve">Kehtestamiseks esitatakse planeering </w:t>
            </w:r>
            <w:r w:rsidR="00CA40A9" w:rsidRPr="00BE3D86">
              <w:rPr>
                <w:rFonts w:ascii="Times New Roman" w:eastAsia="Times New Roman" w:hAnsi="Times New Roman" w:cs="Times New Roman"/>
                <w:sz w:val="24"/>
                <w:szCs w:val="24"/>
              </w:rPr>
              <w:t>digitaalselt</w:t>
            </w:r>
            <w:r w:rsidRPr="00BE3D86">
              <w:rPr>
                <w:rFonts w:ascii="Times New Roman" w:eastAsia="Times New Roman" w:hAnsi="Times New Roman" w:cs="Times New Roman"/>
                <w:sz w:val="24"/>
                <w:szCs w:val="24"/>
              </w:rPr>
              <w:t xml:space="preserve"> (joonised </w:t>
            </w:r>
            <w:proofErr w:type="spellStart"/>
            <w:r w:rsidRPr="00BE3D86">
              <w:rPr>
                <w:rFonts w:ascii="Times New Roman" w:eastAsia="Times New Roman" w:hAnsi="Times New Roman" w:cs="Times New Roman"/>
                <w:sz w:val="24"/>
                <w:szCs w:val="24"/>
              </w:rPr>
              <w:t>dwg</w:t>
            </w:r>
            <w:proofErr w:type="spellEnd"/>
            <w:r w:rsidRPr="00BE3D86">
              <w:rPr>
                <w:rFonts w:ascii="Times New Roman" w:eastAsia="Times New Roman" w:hAnsi="Times New Roman" w:cs="Times New Roman"/>
                <w:sz w:val="24"/>
                <w:szCs w:val="24"/>
              </w:rPr>
              <w:t>/</w:t>
            </w:r>
            <w:proofErr w:type="spellStart"/>
            <w:r w:rsidRPr="00BE3D86">
              <w:rPr>
                <w:rFonts w:ascii="Times New Roman" w:eastAsia="Times New Roman" w:hAnsi="Times New Roman" w:cs="Times New Roman"/>
                <w:sz w:val="24"/>
                <w:szCs w:val="24"/>
              </w:rPr>
              <w:t>dgn</w:t>
            </w:r>
            <w:proofErr w:type="spellEnd"/>
            <w:r w:rsidRPr="00BE3D86">
              <w:rPr>
                <w:rFonts w:ascii="Times New Roman" w:eastAsia="Times New Roman" w:hAnsi="Times New Roman" w:cs="Times New Roman"/>
                <w:sz w:val="24"/>
                <w:szCs w:val="24"/>
              </w:rPr>
              <w:t>/</w:t>
            </w:r>
            <w:proofErr w:type="spellStart"/>
            <w:r w:rsidRPr="00BE3D86">
              <w:rPr>
                <w:rFonts w:ascii="Times New Roman" w:eastAsia="Times New Roman" w:hAnsi="Times New Roman" w:cs="Times New Roman"/>
                <w:sz w:val="24"/>
                <w:szCs w:val="24"/>
              </w:rPr>
              <w:t>shp</w:t>
            </w:r>
            <w:proofErr w:type="spellEnd"/>
            <w:r w:rsidRPr="00BE3D86">
              <w:rPr>
                <w:rFonts w:ascii="Times New Roman" w:eastAsia="Times New Roman" w:hAnsi="Times New Roman" w:cs="Times New Roman"/>
                <w:sz w:val="24"/>
                <w:szCs w:val="24"/>
              </w:rPr>
              <w:t xml:space="preserve"> ja </w:t>
            </w:r>
            <w:proofErr w:type="spellStart"/>
            <w:r w:rsidRPr="00BE3D86">
              <w:rPr>
                <w:rFonts w:ascii="Times New Roman" w:eastAsia="Times New Roman" w:hAnsi="Times New Roman" w:cs="Times New Roman"/>
                <w:sz w:val="24"/>
                <w:szCs w:val="24"/>
              </w:rPr>
              <w:t>pdf</w:t>
            </w:r>
            <w:proofErr w:type="spellEnd"/>
            <w:r w:rsidRPr="00BE3D86">
              <w:rPr>
                <w:rFonts w:ascii="Times New Roman" w:eastAsia="Times New Roman" w:hAnsi="Times New Roman" w:cs="Times New Roman"/>
                <w:sz w:val="24"/>
                <w:szCs w:val="24"/>
              </w:rPr>
              <w:t xml:space="preserve"> formaadis, seletuskiri </w:t>
            </w:r>
            <w:proofErr w:type="spellStart"/>
            <w:r w:rsidRPr="00BE3D86">
              <w:rPr>
                <w:rFonts w:ascii="Times New Roman" w:eastAsia="Times New Roman" w:hAnsi="Times New Roman" w:cs="Times New Roman"/>
                <w:sz w:val="24"/>
                <w:szCs w:val="24"/>
              </w:rPr>
              <w:t>pdf</w:t>
            </w:r>
            <w:proofErr w:type="spellEnd"/>
            <w:r w:rsidRPr="00BE3D86">
              <w:rPr>
                <w:rFonts w:ascii="Times New Roman" w:eastAsia="Times New Roman" w:hAnsi="Times New Roman" w:cs="Times New Roman"/>
                <w:sz w:val="24"/>
                <w:szCs w:val="24"/>
              </w:rPr>
              <w:t xml:space="preserve"> formaadis, faili nimed sisuga kooskõlas). Eraldi 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w:t>
            </w:r>
            <w:r w:rsidRPr="00BE3D86">
              <w:rPr>
                <w:rFonts w:ascii="Times New Roman" w:eastAsia="Times New Roman" w:hAnsi="Times New Roman" w:cs="Times New Roman"/>
                <w:sz w:val="24"/>
                <w:szCs w:val="24"/>
              </w:rPr>
              <w:lastRenderedPageBreak/>
              <w:t>esitada vastavalt PLANIS süsteemi juhendile vormistatud kujul detailplaneeringu kaust.</w:t>
            </w:r>
          </w:p>
        </w:tc>
      </w:tr>
    </w:tbl>
    <w:p w14:paraId="474E121C" w14:textId="2721385C" w:rsidR="00970492" w:rsidRDefault="00970492" w:rsidP="009F1FC1">
      <w:pPr>
        <w:spacing w:before="240"/>
        <w:ind w:firstLine="426"/>
        <w:rPr>
          <w:rFonts w:ascii="Times New Roman" w:hAnsi="Times New Roman" w:cs="Times New Roman"/>
          <w:sz w:val="24"/>
          <w:szCs w:val="24"/>
        </w:rPr>
      </w:pPr>
      <w:r>
        <w:rPr>
          <w:rFonts w:ascii="Times New Roman" w:hAnsi="Times New Roman" w:cs="Times New Roman"/>
          <w:sz w:val="24"/>
          <w:szCs w:val="24"/>
        </w:rPr>
        <w:lastRenderedPageBreak/>
        <w:t>3</w:t>
      </w:r>
      <w:r w:rsidR="009F1FC1">
        <w:rPr>
          <w:rFonts w:ascii="Times New Roman" w:hAnsi="Times New Roman" w:cs="Times New Roman"/>
          <w:sz w:val="24"/>
          <w:szCs w:val="24"/>
        </w:rPr>
        <w:t xml:space="preserve">.  </w:t>
      </w:r>
      <w:r>
        <w:rPr>
          <w:rFonts w:ascii="Times New Roman" w:hAnsi="Times New Roman" w:cs="Times New Roman"/>
          <w:sz w:val="24"/>
          <w:szCs w:val="24"/>
        </w:rPr>
        <w:t xml:space="preserve">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0833D2" w:rsidRDefault="00970492"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peab olema esitatud vastuvõtmiseks hiljemalt kahe aasta jooksul alates algatamisest.</w:t>
            </w:r>
          </w:p>
          <w:p w14:paraId="6E8C6EA2" w14:textId="1A7460E5" w:rsidR="00020420" w:rsidRDefault="008E2D3C"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koostatakse eeldatavalt</w:t>
            </w:r>
            <w:r w:rsidR="000833D2">
              <w:rPr>
                <w:rFonts w:ascii="Times New Roman" w:hAnsi="Times New Roman" w:cs="Times New Roman"/>
                <w:sz w:val="24"/>
                <w:szCs w:val="24"/>
              </w:rPr>
              <w:t xml:space="preserve"> </w:t>
            </w:r>
            <w:r w:rsidR="003F662B" w:rsidRPr="000833D2">
              <w:rPr>
                <w:rFonts w:ascii="Times New Roman" w:hAnsi="Times New Roman" w:cs="Times New Roman"/>
                <w:sz w:val="24"/>
                <w:szCs w:val="24"/>
              </w:rPr>
              <w:t xml:space="preserve">2026-2028 </w:t>
            </w:r>
            <w:r w:rsidRPr="000833D2">
              <w:rPr>
                <w:rFonts w:ascii="Times New Roman" w:hAnsi="Times New Roman" w:cs="Times New Roman"/>
                <w:sz w:val="24"/>
                <w:szCs w:val="24"/>
              </w:rPr>
              <w:t>aastate jooksul</w:t>
            </w:r>
            <w:r w:rsidR="00EE7F76" w:rsidRPr="000833D2">
              <w:rPr>
                <w:rFonts w:ascii="Times New Roman" w:hAnsi="Times New Roman" w:cs="Times New Roman"/>
                <w:sz w:val="24"/>
                <w:szCs w:val="24"/>
              </w:rPr>
              <w:t>.</w:t>
            </w:r>
          </w:p>
          <w:p w14:paraId="23789073" w14:textId="42B32B2E" w:rsidR="00005734" w:rsidRPr="000833D2" w:rsidRDefault="00020420" w:rsidP="00A97EEB">
            <w:pPr>
              <w:jc w:val="both"/>
              <w:rPr>
                <w:rFonts w:ascii="Times New Roman" w:hAnsi="Times New Roman" w:cs="Times New Roman"/>
                <w:sz w:val="24"/>
                <w:szCs w:val="24"/>
              </w:rPr>
            </w:pPr>
            <w:r>
              <w:rPr>
                <w:rFonts w:ascii="Times New Roman" w:hAnsi="Times New Roman" w:cs="Times New Roman"/>
                <w:sz w:val="24"/>
                <w:szCs w:val="24"/>
              </w:rPr>
              <w:t>Kui detailplaneeringut ei esitata kohalikule omavalitsusele vastuvõtmiseks kahe aasta jooksul planeeringu algatamisest arvates, siis peab planeeringu koostamisest huvitatud isik esitama kohalikule omavalitsusele taotluse lähteseiskohtade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67ADB057" w14:textId="144454B5" w:rsidR="0098510C"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sidR="00191E46">
              <w:rPr>
                <w:rFonts w:ascii="Times New Roman" w:hAnsi="Times New Roman" w:cs="Times New Roman"/>
                <w:sz w:val="24"/>
                <w:szCs w:val="24"/>
              </w:rPr>
              <w:t xml:space="preserve"> </w:t>
            </w:r>
            <w:r>
              <w:rPr>
                <w:rFonts w:ascii="Times New Roman" w:hAnsi="Times New Roman" w:cs="Times New Roman"/>
                <w:sz w:val="24"/>
                <w:szCs w:val="24"/>
              </w:rPr>
              <w:t>Maa- ja Ruumiamet</w:t>
            </w:r>
            <w:r w:rsidR="007F21D5">
              <w:rPr>
                <w:rFonts w:ascii="Times New Roman" w:hAnsi="Times New Roman" w:cs="Times New Roman"/>
                <w:sz w:val="24"/>
                <w:szCs w:val="24"/>
              </w:rPr>
              <w:t>;</w:t>
            </w:r>
          </w:p>
          <w:p w14:paraId="16B9488D" w14:textId="456A6C8F" w:rsidR="007F21D5" w:rsidRPr="00176C0C" w:rsidRDefault="007F21D5" w:rsidP="0098510C">
            <w:pPr>
              <w:jc w:val="both"/>
              <w:rPr>
                <w:rFonts w:ascii="Times New Roman" w:hAnsi="Times New Roman" w:cs="Times New Roman"/>
                <w:sz w:val="24"/>
                <w:szCs w:val="24"/>
              </w:rPr>
            </w:pPr>
            <w:r>
              <w:rPr>
                <w:rFonts w:ascii="Times New Roman" w:hAnsi="Times New Roman" w:cs="Times New Roman"/>
                <w:sz w:val="24"/>
                <w:szCs w:val="24"/>
              </w:rPr>
              <w:t>* Keskkonnaamet;</w:t>
            </w:r>
          </w:p>
          <w:p w14:paraId="759E0CD4" w14:textId="3F534FFA" w:rsidR="00616323"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42C760B3" w14:textId="1ED37A6D" w:rsidR="007C54AD" w:rsidRDefault="007C54AD" w:rsidP="0098510C">
            <w:pPr>
              <w:jc w:val="both"/>
              <w:rPr>
                <w:rFonts w:ascii="Times New Roman" w:hAnsi="Times New Roman" w:cs="Times New Roman"/>
                <w:sz w:val="24"/>
                <w:szCs w:val="24"/>
              </w:rPr>
            </w:pPr>
            <w:r>
              <w:rPr>
                <w:rFonts w:ascii="Times New Roman" w:hAnsi="Times New Roman" w:cs="Times New Roman"/>
                <w:sz w:val="24"/>
                <w:szCs w:val="24"/>
              </w:rPr>
              <w:t>*</w:t>
            </w:r>
            <w:r w:rsidR="007F21D5">
              <w:rPr>
                <w:rFonts w:ascii="Times New Roman" w:hAnsi="Times New Roman" w:cs="Times New Roman"/>
                <w:sz w:val="24"/>
                <w:szCs w:val="24"/>
              </w:rPr>
              <w:t xml:space="preserve"> </w:t>
            </w:r>
            <w:r w:rsidR="001A695E">
              <w:rPr>
                <w:rFonts w:ascii="Times New Roman" w:hAnsi="Times New Roman" w:cs="Times New Roman"/>
                <w:sz w:val="24"/>
                <w:szCs w:val="24"/>
              </w:rPr>
              <w:t>Transpordiamet</w:t>
            </w:r>
            <w:r w:rsidR="007F21D5">
              <w:rPr>
                <w:rFonts w:ascii="Times New Roman" w:hAnsi="Times New Roman" w:cs="Times New Roman"/>
                <w:sz w:val="24"/>
                <w:szCs w:val="24"/>
              </w:rPr>
              <w:t>;</w:t>
            </w:r>
          </w:p>
          <w:p w14:paraId="2F29B3FE" w14:textId="1F877425"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Terviseamet</w:t>
            </w:r>
            <w:r w:rsidR="007F21D5">
              <w:rPr>
                <w:rFonts w:ascii="Times New Roman" w:hAnsi="Times New Roman" w:cs="Times New Roman"/>
                <w:sz w:val="24"/>
                <w:szCs w:val="24"/>
              </w:rPr>
              <w:t>;</w:t>
            </w:r>
          </w:p>
          <w:p w14:paraId="1BD921F6" w14:textId="524366C9" w:rsidR="002853DB" w:rsidRPr="00002934" w:rsidRDefault="00002934" w:rsidP="00002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Muinsuskaitseamet;</w:t>
            </w:r>
          </w:p>
          <w:p w14:paraId="7E5B0DE1" w14:textId="4C4B5592"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Planeeringu koostamisse kaasatakse:</w:t>
            </w:r>
          </w:p>
          <w:p w14:paraId="7D33924F" w14:textId="3014BAE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w:t>
            </w:r>
            <w:r w:rsidR="00BF16F7">
              <w:rPr>
                <w:rFonts w:ascii="Times New Roman" w:hAnsi="Times New Roman" w:cs="Times New Roman"/>
                <w:sz w:val="24"/>
                <w:szCs w:val="24"/>
              </w:rPr>
              <w:t xml:space="preserve"> </w:t>
            </w:r>
            <w:r w:rsidRPr="00BF16F7">
              <w:rPr>
                <w:rFonts w:ascii="Times New Roman" w:hAnsi="Times New Roman" w:cs="Times New Roman"/>
                <w:sz w:val="24"/>
                <w:szCs w:val="24"/>
              </w:rPr>
              <w:t>Töö sisust nähtuvalt tehnovõrkude omanikud, kelle taristuga liitumisühendust kavandatakse või muudetakse;</w:t>
            </w:r>
          </w:p>
          <w:p w14:paraId="3BFAEE56" w14:textId="0A8B9609" w:rsidR="00FA6B90" w:rsidRPr="00BF16F7" w:rsidRDefault="00FA6B90"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176033" w:rsidRPr="00BF16F7">
              <w:rPr>
                <w:rFonts w:ascii="Times New Roman" w:eastAsia="Times New Roman" w:hAnsi="Times New Roman" w:cs="Times New Roman"/>
                <w:sz w:val="24"/>
                <w:szCs w:val="24"/>
              </w:rPr>
              <w:t xml:space="preserve"> </w:t>
            </w:r>
            <w:r w:rsidR="000A5F65" w:rsidRPr="00BF16F7">
              <w:rPr>
                <w:rFonts w:ascii="Times New Roman" w:eastAsia="Times New Roman" w:hAnsi="Times New Roman" w:cs="Times New Roman"/>
                <w:sz w:val="24"/>
                <w:szCs w:val="24"/>
              </w:rPr>
              <w:t>89901:001:1893 (Jõekalda)</w:t>
            </w:r>
            <w:r w:rsidR="00BF16F7">
              <w:rPr>
                <w:rFonts w:ascii="Times New Roman" w:eastAsia="Times New Roman" w:hAnsi="Times New Roman" w:cs="Times New Roman"/>
                <w:sz w:val="24"/>
                <w:szCs w:val="24"/>
              </w:rPr>
              <w:t>;</w:t>
            </w:r>
          </w:p>
          <w:p w14:paraId="00AC6592" w14:textId="204D0D7D" w:rsidR="00176033" w:rsidRPr="00BF16F7" w:rsidRDefault="00176033" w:rsidP="00BD72B9">
            <w:pPr>
              <w:rPr>
                <w:rFonts w:ascii="Times New Roman" w:hAnsi="Times New Roman" w:cs="Times New Roman"/>
                <w:sz w:val="24"/>
                <w:szCs w:val="24"/>
                <w:shd w:val="clear" w:color="auto" w:fill="FFFFFF"/>
              </w:rPr>
            </w:pPr>
            <w:r w:rsidRPr="00BF16F7">
              <w:rPr>
                <w:rFonts w:ascii="Times New Roman" w:eastAsia="Times New Roman" w:hAnsi="Times New Roman" w:cs="Times New Roman"/>
                <w:sz w:val="24"/>
                <w:szCs w:val="24"/>
              </w:rPr>
              <w:t>*</w:t>
            </w:r>
            <w:r w:rsidR="00527207" w:rsidRPr="00BF16F7">
              <w:rPr>
                <w:rFonts w:ascii="Times New Roman" w:hAnsi="Times New Roman" w:cs="Times New Roman"/>
                <w:sz w:val="24"/>
                <w:szCs w:val="24"/>
                <w:shd w:val="clear" w:color="auto" w:fill="FFFFFF"/>
              </w:rPr>
              <w:t xml:space="preserve"> </w:t>
            </w:r>
            <w:r w:rsidR="00BF16F7" w:rsidRPr="00BF16F7">
              <w:rPr>
                <w:rFonts w:ascii="Times New Roman" w:hAnsi="Times New Roman" w:cs="Times New Roman"/>
                <w:sz w:val="24"/>
                <w:szCs w:val="24"/>
                <w:shd w:val="clear" w:color="auto" w:fill="FFFFFF"/>
              </w:rPr>
              <w:t xml:space="preserve">89202:002:0024 </w:t>
            </w:r>
            <w:r w:rsidR="00BF16F7" w:rsidRPr="00BF16F7">
              <w:rPr>
                <w:rFonts w:ascii="Times New Roman" w:eastAsia="Times New Roman" w:hAnsi="Times New Roman" w:cs="Times New Roman"/>
                <w:sz w:val="24"/>
                <w:szCs w:val="24"/>
              </w:rPr>
              <w:t>(</w:t>
            </w:r>
            <w:r w:rsidR="00BF16F7" w:rsidRPr="00BF16F7">
              <w:rPr>
                <w:rFonts w:ascii="Times New Roman" w:hAnsi="Times New Roman" w:cs="Times New Roman"/>
                <w:sz w:val="24"/>
                <w:szCs w:val="24"/>
                <w:shd w:val="clear" w:color="auto" w:fill="FFFFFF"/>
              </w:rPr>
              <w:t>Oiu-Raudsepa</w:t>
            </w:r>
            <w:r w:rsidR="00BF16F7">
              <w:rPr>
                <w:rFonts w:ascii="Times New Roman" w:eastAsia="Times New Roman" w:hAnsi="Times New Roman" w:cs="Times New Roman"/>
                <w:sz w:val="24"/>
                <w:szCs w:val="24"/>
              </w:rPr>
              <w:t>);</w:t>
            </w:r>
          </w:p>
          <w:p w14:paraId="17633435" w14:textId="470B3705" w:rsidR="00D81576" w:rsidRPr="00BF16F7" w:rsidRDefault="00D81576"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C60413"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89202:002:1240 (</w:t>
            </w:r>
            <w:proofErr w:type="spellStart"/>
            <w:r w:rsidR="00BF16F7" w:rsidRPr="00BF16F7">
              <w:rPr>
                <w:rFonts w:ascii="Times New Roman" w:eastAsia="Times New Roman" w:hAnsi="Times New Roman" w:cs="Times New Roman"/>
                <w:sz w:val="24"/>
                <w:szCs w:val="24"/>
              </w:rPr>
              <w:t>Kuimetsa</w:t>
            </w:r>
            <w:proofErr w:type="spellEnd"/>
            <w:r w:rsidR="00BF16F7">
              <w:rPr>
                <w:rFonts w:ascii="Times New Roman" w:eastAsia="Times New Roman" w:hAnsi="Times New Roman" w:cs="Times New Roman"/>
                <w:sz w:val="24"/>
                <w:szCs w:val="24"/>
              </w:rPr>
              <w:t>);</w:t>
            </w:r>
          </w:p>
          <w:p w14:paraId="6A971E30" w14:textId="0EF60306" w:rsidR="00750952" w:rsidRPr="00BF16F7" w:rsidRDefault="00750952"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0723EE"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89201:004:1490, 32802:001:0109 (92 Tartu - Viljandi - Kilingi-Nõmme tee</w:t>
            </w:r>
            <w:r w:rsidR="00BF16F7">
              <w:rPr>
                <w:rFonts w:ascii="Times New Roman" w:eastAsia="Times New Roman" w:hAnsi="Times New Roman" w:cs="Times New Roman"/>
                <w:sz w:val="24"/>
                <w:szCs w:val="24"/>
              </w:rPr>
              <w:t>);</w:t>
            </w:r>
          </w:p>
          <w:p w14:paraId="176FF8F9" w14:textId="0EDEA3FF" w:rsidR="000723EE" w:rsidRPr="00BF16F7" w:rsidRDefault="000723EE"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5064CF"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9202:002:1220 (</w:t>
            </w:r>
            <w:proofErr w:type="spellStart"/>
            <w:r w:rsidR="00BF16F7" w:rsidRPr="00BF16F7">
              <w:rPr>
                <w:rFonts w:ascii="Times New Roman" w:eastAsia="Times New Roman" w:hAnsi="Times New Roman" w:cs="Times New Roman"/>
                <w:sz w:val="24"/>
                <w:szCs w:val="24"/>
              </w:rPr>
              <w:t>Kuimetsa</w:t>
            </w:r>
            <w:proofErr w:type="spellEnd"/>
            <w:r w:rsidR="00BF16F7" w:rsidRPr="00BF16F7">
              <w:rPr>
                <w:rFonts w:ascii="Times New Roman" w:eastAsia="Times New Roman" w:hAnsi="Times New Roman" w:cs="Times New Roman"/>
                <w:sz w:val="24"/>
                <w:szCs w:val="24"/>
              </w:rPr>
              <w:t>-Jõe</w:t>
            </w:r>
            <w:r w:rsidR="00BF16F7">
              <w:rPr>
                <w:rFonts w:ascii="Times New Roman" w:eastAsia="Times New Roman" w:hAnsi="Times New Roman" w:cs="Times New Roman"/>
                <w:sz w:val="24"/>
                <w:szCs w:val="24"/>
              </w:rPr>
              <w:t>);</w:t>
            </w:r>
          </w:p>
          <w:p w14:paraId="09CC0E3E" w14:textId="33F56142" w:rsidR="00174DDA" w:rsidRPr="00BF16F7" w:rsidRDefault="00174DD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89202:002:0134 (</w:t>
            </w:r>
            <w:proofErr w:type="spellStart"/>
            <w:r w:rsidR="00BF16F7" w:rsidRPr="00BF16F7">
              <w:rPr>
                <w:rFonts w:ascii="Times New Roman" w:eastAsia="Times New Roman" w:hAnsi="Times New Roman" w:cs="Times New Roman"/>
                <w:sz w:val="24"/>
                <w:szCs w:val="24"/>
              </w:rPr>
              <w:t>Akre</w:t>
            </w:r>
            <w:proofErr w:type="spellEnd"/>
            <w:r w:rsidR="00BF16F7">
              <w:rPr>
                <w:rFonts w:ascii="Times New Roman" w:eastAsia="Times New Roman" w:hAnsi="Times New Roman" w:cs="Times New Roman"/>
                <w:sz w:val="24"/>
                <w:szCs w:val="24"/>
              </w:rPr>
              <w:t>);</w:t>
            </w:r>
          </w:p>
          <w:p w14:paraId="7E862F41" w14:textId="0E462490" w:rsidR="005064CF" w:rsidRPr="00BF16F7" w:rsidRDefault="005D73E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89202:002:0135 (</w:t>
            </w:r>
            <w:proofErr w:type="spellStart"/>
            <w:r w:rsidR="00BF16F7" w:rsidRPr="00BF16F7">
              <w:rPr>
                <w:rFonts w:ascii="Times New Roman" w:eastAsia="Times New Roman" w:hAnsi="Times New Roman" w:cs="Times New Roman"/>
                <w:sz w:val="24"/>
                <w:szCs w:val="24"/>
              </w:rPr>
              <w:t>Akre</w:t>
            </w:r>
            <w:proofErr w:type="spellEnd"/>
            <w:r w:rsidR="00BF16F7" w:rsidRPr="00BF16F7">
              <w:rPr>
                <w:rFonts w:ascii="Times New Roman" w:eastAsia="Times New Roman" w:hAnsi="Times New Roman" w:cs="Times New Roman"/>
                <w:sz w:val="24"/>
                <w:szCs w:val="24"/>
              </w:rPr>
              <w:t xml:space="preserve"> </w:t>
            </w:r>
            <w:r w:rsidR="00BF16F7">
              <w:rPr>
                <w:rFonts w:ascii="Times New Roman" w:eastAsia="Times New Roman" w:hAnsi="Times New Roman" w:cs="Times New Roman"/>
                <w:sz w:val="24"/>
                <w:szCs w:val="24"/>
              </w:rPr>
              <w:t>);</w:t>
            </w:r>
          </w:p>
          <w:p w14:paraId="234D7A96" w14:textId="67A0FC9D" w:rsidR="005D73EA" w:rsidRPr="00BF16F7" w:rsidRDefault="005D73E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32802:001:0961 (Kõrtsi</w:t>
            </w:r>
            <w:r w:rsidR="00BF16F7">
              <w:rPr>
                <w:rFonts w:ascii="Times New Roman" w:eastAsia="Times New Roman" w:hAnsi="Times New Roman" w:cs="Times New Roman"/>
                <w:sz w:val="24"/>
                <w:szCs w:val="24"/>
              </w:rPr>
              <w:t>);</w:t>
            </w:r>
          </w:p>
          <w:p w14:paraId="48693530" w14:textId="2607F27F" w:rsidR="005D73EA" w:rsidRPr="00BF16F7" w:rsidRDefault="005D73EA"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DC255D"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32802:001:0962 (Kõrtsi</w:t>
            </w:r>
            <w:r w:rsidR="00BF16F7">
              <w:rPr>
                <w:rFonts w:ascii="Times New Roman" w:eastAsia="Times New Roman" w:hAnsi="Times New Roman" w:cs="Times New Roman"/>
                <w:sz w:val="24"/>
                <w:szCs w:val="24"/>
              </w:rPr>
              <w:t>);</w:t>
            </w:r>
          </w:p>
          <w:p w14:paraId="400C23E0" w14:textId="19EEB55A" w:rsidR="006002F8" w:rsidRPr="00BF16F7" w:rsidRDefault="006002F8"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C67C15"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32802:001:0118 (Oiu-Võitööstuse</w:t>
            </w:r>
            <w:r w:rsidR="00BF16F7">
              <w:rPr>
                <w:rFonts w:ascii="Times New Roman" w:eastAsia="Times New Roman" w:hAnsi="Times New Roman" w:cs="Times New Roman"/>
                <w:sz w:val="24"/>
                <w:szCs w:val="24"/>
              </w:rPr>
              <w:t>);</w:t>
            </w:r>
          </w:p>
          <w:p w14:paraId="5AF153DF" w14:textId="7ADF3A4E" w:rsidR="00BF16F7" w:rsidRPr="00BF16F7" w:rsidRDefault="00C67C15"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CC5315"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32802:001:0108 (Vesiroosi</w:t>
            </w:r>
            <w:r w:rsidR="00BF16F7">
              <w:rPr>
                <w:rFonts w:ascii="Times New Roman" w:eastAsia="Times New Roman" w:hAnsi="Times New Roman" w:cs="Times New Roman"/>
                <w:sz w:val="24"/>
                <w:szCs w:val="24"/>
              </w:rPr>
              <w:t>);</w:t>
            </w:r>
          </w:p>
          <w:p w14:paraId="001F11AC" w14:textId="795F5B2E" w:rsidR="00CC5315" w:rsidRDefault="00CC5315"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58126B" w:rsidRPr="00BF16F7">
              <w:rPr>
                <w:rFonts w:ascii="Times New Roman" w:eastAsia="Times New Roman" w:hAnsi="Times New Roman" w:cs="Times New Roman"/>
                <w:sz w:val="24"/>
                <w:szCs w:val="24"/>
              </w:rPr>
              <w:t xml:space="preserve"> </w:t>
            </w:r>
            <w:r w:rsidR="00BF16F7" w:rsidRPr="00BF16F7">
              <w:rPr>
                <w:rFonts w:ascii="Times New Roman" w:eastAsia="Times New Roman" w:hAnsi="Times New Roman" w:cs="Times New Roman"/>
                <w:sz w:val="24"/>
                <w:szCs w:val="24"/>
              </w:rPr>
              <w:t>32802:001:0106 (</w:t>
            </w:r>
            <w:proofErr w:type="spellStart"/>
            <w:r w:rsidR="00BF16F7" w:rsidRPr="00BF16F7">
              <w:rPr>
                <w:rFonts w:ascii="Times New Roman" w:eastAsia="Times New Roman" w:hAnsi="Times New Roman" w:cs="Times New Roman"/>
                <w:sz w:val="24"/>
                <w:szCs w:val="24"/>
              </w:rPr>
              <w:t>Põlla</w:t>
            </w:r>
            <w:proofErr w:type="spellEnd"/>
            <w:r w:rsidR="00BF16F7">
              <w:rPr>
                <w:rFonts w:ascii="Times New Roman" w:eastAsia="Times New Roman" w:hAnsi="Times New Roman" w:cs="Times New Roman"/>
                <w:sz w:val="24"/>
                <w:szCs w:val="24"/>
              </w:rPr>
              <w:t>);</w:t>
            </w:r>
          </w:p>
          <w:p w14:paraId="29DA1F42" w14:textId="31306E0F" w:rsidR="00BF16F7" w:rsidRPr="00BF16F7" w:rsidRDefault="00BF16F7"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610EA885" w14:textId="77777777" w:rsidR="00970492" w:rsidRPr="00BE3CE5"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 Teised isikud planeerimisseaduse § 127 lõigetes 2 ja 3 sätestatud alustel, kes selleks soovi</w:t>
            </w:r>
            <w:r w:rsidRPr="009A41B8">
              <w:rPr>
                <w:rFonts w:ascii="Times New Roman" w:hAnsi="Times New Roman" w:cs="Times New Roman"/>
                <w:sz w:val="24"/>
                <w:szCs w:val="24"/>
              </w:rPr>
              <w:t xml:space="preserve">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4D88" w14:textId="77777777" w:rsidR="002E17CB" w:rsidRDefault="002E17CB" w:rsidP="009D0AAB">
      <w:pPr>
        <w:spacing w:after="0" w:line="240" w:lineRule="auto"/>
      </w:pPr>
      <w:r>
        <w:separator/>
      </w:r>
    </w:p>
  </w:endnote>
  <w:endnote w:type="continuationSeparator" w:id="0">
    <w:p w14:paraId="7C547B82" w14:textId="77777777" w:rsidR="002E17CB" w:rsidRDefault="002E17CB"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4473" w14:textId="77777777" w:rsidR="002E17CB" w:rsidRDefault="002E17CB" w:rsidP="009D0AAB">
      <w:pPr>
        <w:spacing w:after="0" w:line="240" w:lineRule="auto"/>
      </w:pPr>
      <w:r>
        <w:separator/>
      </w:r>
    </w:p>
  </w:footnote>
  <w:footnote w:type="continuationSeparator" w:id="0">
    <w:p w14:paraId="2CE6112D" w14:textId="77777777" w:rsidR="002E17CB" w:rsidRDefault="002E17CB"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F1FC1" w:rsidRDefault="009D0AAB" w:rsidP="009D0AAB">
    <w:pPr>
      <w:pStyle w:val="Pis"/>
      <w:jc w:val="right"/>
      <w:rPr>
        <w:rFonts w:ascii="Times New Roman" w:hAnsi="Times New Roman" w:cs="Times New Roman"/>
      </w:rPr>
    </w:pPr>
    <w:r w:rsidRPr="009F1FC1">
      <w:rPr>
        <w:rFonts w:ascii="Times New Roman" w:hAnsi="Times New Roman" w:cs="Times New Roman"/>
      </w:rPr>
      <w:t xml:space="preserve">Lisa 2 </w:t>
    </w:r>
  </w:p>
  <w:p w14:paraId="1D1803C2" w14:textId="21E23C3F" w:rsidR="009D0AAB" w:rsidRPr="009F1FC1" w:rsidRDefault="009D0AAB" w:rsidP="009D0AAB">
    <w:pPr>
      <w:pStyle w:val="Pis"/>
      <w:jc w:val="right"/>
      <w:rPr>
        <w:rFonts w:ascii="Times New Roman" w:hAnsi="Times New Roman" w:cs="Times New Roman"/>
      </w:rPr>
    </w:pPr>
    <w:r w:rsidRPr="009F1FC1">
      <w:rPr>
        <w:rFonts w:ascii="Times New Roman" w:hAnsi="Times New Roman" w:cs="Times New Roman"/>
      </w:rPr>
      <w:t>Viljandi Valla</w:t>
    </w:r>
    <w:r w:rsidR="009A783B" w:rsidRPr="009F1FC1">
      <w:rPr>
        <w:rFonts w:ascii="Times New Roman" w:hAnsi="Times New Roman" w:cs="Times New Roman"/>
      </w:rPr>
      <w:t>v</w:t>
    </w:r>
    <w:r w:rsidR="00A208EF" w:rsidRPr="009F1FC1">
      <w:rPr>
        <w:rFonts w:ascii="Times New Roman" w:hAnsi="Times New Roman" w:cs="Times New Roman"/>
      </w:rPr>
      <w:t>olikogu</w:t>
    </w:r>
    <w:r w:rsidRPr="009F1FC1">
      <w:rPr>
        <w:rFonts w:ascii="Times New Roman" w:hAnsi="Times New Roman" w:cs="Times New Roman"/>
      </w:rPr>
      <w:t xml:space="preserve"> </w:t>
    </w:r>
    <w:r w:rsidR="00A208EF" w:rsidRPr="009F1FC1">
      <w:rPr>
        <w:rFonts w:ascii="Times New Roman" w:hAnsi="Times New Roman" w:cs="Times New Roman"/>
      </w:rPr>
      <w:t>29</w:t>
    </w:r>
    <w:r w:rsidR="00321977" w:rsidRPr="009F1FC1">
      <w:rPr>
        <w:rFonts w:ascii="Times New Roman" w:hAnsi="Times New Roman" w:cs="Times New Roman"/>
      </w:rPr>
      <w:t>.</w:t>
    </w:r>
    <w:r w:rsidR="00191E46" w:rsidRPr="009F1FC1">
      <w:rPr>
        <w:rFonts w:ascii="Times New Roman" w:hAnsi="Times New Roman" w:cs="Times New Roman"/>
      </w:rPr>
      <w:t>0</w:t>
    </w:r>
    <w:r w:rsidR="00F37CA5" w:rsidRPr="009F1FC1">
      <w:rPr>
        <w:rFonts w:ascii="Times New Roman" w:hAnsi="Times New Roman" w:cs="Times New Roman"/>
      </w:rPr>
      <w:t>6</w:t>
    </w:r>
    <w:r w:rsidR="0057656F" w:rsidRPr="009F1FC1">
      <w:rPr>
        <w:rFonts w:ascii="Times New Roman" w:hAnsi="Times New Roman" w:cs="Times New Roman"/>
      </w:rPr>
      <w:t>.</w:t>
    </w:r>
    <w:r w:rsidRPr="009F1FC1">
      <w:rPr>
        <w:rFonts w:ascii="Times New Roman" w:hAnsi="Times New Roman" w:cs="Times New Roman"/>
      </w:rPr>
      <w:t>202</w:t>
    </w:r>
    <w:r w:rsidR="008210A5" w:rsidRPr="009F1FC1">
      <w:rPr>
        <w:rFonts w:ascii="Times New Roman" w:hAnsi="Times New Roman" w:cs="Times New Roman"/>
      </w:rPr>
      <w:t>6</w:t>
    </w:r>
  </w:p>
  <w:p w14:paraId="5191DDAA" w14:textId="7E68FC67" w:rsidR="009D0AAB" w:rsidRPr="009F1FC1" w:rsidRDefault="00A208EF" w:rsidP="009D0AAB">
    <w:pPr>
      <w:pStyle w:val="Pis"/>
      <w:jc w:val="right"/>
      <w:rPr>
        <w:rFonts w:ascii="Times New Roman" w:hAnsi="Times New Roman" w:cs="Times New Roman"/>
      </w:rPr>
    </w:pPr>
    <w:r w:rsidRPr="009F1FC1">
      <w:rPr>
        <w:rFonts w:ascii="Times New Roman" w:hAnsi="Times New Roman" w:cs="Times New Roman"/>
      </w:rPr>
      <w:t>otsuse</w:t>
    </w:r>
    <w:r w:rsidR="009D0AAB" w:rsidRPr="009F1FC1">
      <w:rPr>
        <w:rFonts w:ascii="Times New Roman" w:hAnsi="Times New Roman" w:cs="Times New Roman"/>
      </w:rPr>
      <w:t xml:space="preserve"> nr </w:t>
    </w:r>
    <w:r w:rsidR="009F1FC1" w:rsidRPr="009F1FC1">
      <w:rPr>
        <w:rFonts w:ascii="Times New Roman" w:hAnsi="Times New Roman" w:cs="Times New Roman"/>
      </w:rPr>
      <w:t>54</w:t>
    </w:r>
    <w:r w:rsidR="009D0AAB" w:rsidRPr="009F1FC1">
      <w:rPr>
        <w:rFonts w:ascii="Times New Roman" w:hAnsi="Times New Roman" w:cs="Times New Roman"/>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2"/>
  </w:num>
  <w:num w:numId="3" w16cid:durableId="12819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2934"/>
    <w:rsid w:val="00002DBE"/>
    <w:rsid w:val="00005734"/>
    <w:rsid w:val="00007A60"/>
    <w:rsid w:val="00020420"/>
    <w:rsid w:val="00035CB5"/>
    <w:rsid w:val="00041495"/>
    <w:rsid w:val="00056269"/>
    <w:rsid w:val="00057D59"/>
    <w:rsid w:val="00061167"/>
    <w:rsid w:val="00066A65"/>
    <w:rsid w:val="00071158"/>
    <w:rsid w:val="000723EE"/>
    <w:rsid w:val="000833D2"/>
    <w:rsid w:val="00094BF3"/>
    <w:rsid w:val="000A5F65"/>
    <w:rsid w:val="000D75C6"/>
    <w:rsid w:val="000E3EF6"/>
    <w:rsid w:val="000F18E9"/>
    <w:rsid w:val="000F2537"/>
    <w:rsid w:val="000F26EB"/>
    <w:rsid w:val="000F374C"/>
    <w:rsid w:val="00100A07"/>
    <w:rsid w:val="001059B3"/>
    <w:rsid w:val="00107404"/>
    <w:rsid w:val="0011091F"/>
    <w:rsid w:val="001216EB"/>
    <w:rsid w:val="001420B2"/>
    <w:rsid w:val="00144ADF"/>
    <w:rsid w:val="0015414A"/>
    <w:rsid w:val="0017117F"/>
    <w:rsid w:val="00171ADE"/>
    <w:rsid w:val="00174DDA"/>
    <w:rsid w:val="00176033"/>
    <w:rsid w:val="00176C0C"/>
    <w:rsid w:val="0018559B"/>
    <w:rsid w:val="00191E46"/>
    <w:rsid w:val="00195058"/>
    <w:rsid w:val="0019736C"/>
    <w:rsid w:val="001A1F15"/>
    <w:rsid w:val="001A695E"/>
    <w:rsid w:val="001B764B"/>
    <w:rsid w:val="001C1010"/>
    <w:rsid w:val="001C690C"/>
    <w:rsid w:val="001D69BB"/>
    <w:rsid w:val="001E0ECE"/>
    <w:rsid w:val="001F3895"/>
    <w:rsid w:val="001F4C03"/>
    <w:rsid w:val="001F6E65"/>
    <w:rsid w:val="00200DD9"/>
    <w:rsid w:val="00220B90"/>
    <w:rsid w:val="00222B16"/>
    <w:rsid w:val="0022397E"/>
    <w:rsid w:val="002305AD"/>
    <w:rsid w:val="00233776"/>
    <w:rsid w:val="00241E5D"/>
    <w:rsid w:val="002646B5"/>
    <w:rsid w:val="00265478"/>
    <w:rsid w:val="0027539F"/>
    <w:rsid w:val="00276DC5"/>
    <w:rsid w:val="002853DB"/>
    <w:rsid w:val="00285A0C"/>
    <w:rsid w:val="00291579"/>
    <w:rsid w:val="00294275"/>
    <w:rsid w:val="00296C9A"/>
    <w:rsid w:val="002A01C8"/>
    <w:rsid w:val="002A55D4"/>
    <w:rsid w:val="002B735C"/>
    <w:rsid w:val="002E03DC"/>
    <w:rsid w:val="002E17CB"/>
    <w:rsid w:val="002E6937"/>
    <w:rsid w:val="002F5DE3"/>
    <w:rsid w:val="0031754D"/>
    <w:rsid w:val="00321977"/>
    <w:rsid w:val="003237A3"/>
    <w:rsid w:val="00327F1E"/>
    <w:rsid w:val="003311AA"/>
    <w:rsid w:val="0034299C"/>
    <w:rsid w:val="00346C75"/>
    <w:rsid w:val="003471F0"/>
    <w:rsid w:val="00351D2E"/>
    <w:rsid w:val="00354B13"/>
    <w:rsid w:val="0036139B"/>
    <w:rsid w:val="00370003"/>
    <w:rsid w:val="0037385C"/>
    <w:rsid w:val="00396386"/>
    <w:rsid w:val="003D4BCB"/>
    <w:rsid w:val="003E25AC"/>
    <w:rsid w:val="003F09AB"/>
    <w:rsid w:val="003F662B"/>
    <w:rsid w:val="00401095"/>
    <w:rsid w:val="00405288"/>
    <w:rsid w:val="00407365"/>
    <w:rsid w:val="00415FA6"/>
    <w:rsid w:val="00421420"/>
    <w:rsid w:val="00421637"/>
    <w:rsid w:val="00424E70"/>
    <w:rsid w:val="00450587"/>
    <w:rsid w:val="004525AE"/>
    <w:rsid w:val="004563C8"/>
    <w:rsid w:val="0048558A"/>
    <w:rsid w:val="00485631"/>
    <w:rsid w:val="004A3533"/>
    <w:rsid w:val="004C1284"/>
    <w:rsid w:val="004C1B55"/>
    <w:rsid w:val="004E0E31"/>
    <w:rsid w:val="004F4E78"/>
    <w:rsid w:val="004F6578"/>
    <w:rsid w:val="004F6790"/>
    <w:rsid w:val="004F74B7"/>
    <w:rsid w:val="005064CF"/>
    <w:rsid w:val="0050656F"/>
    <w:rsid w:val="00527207"/>
    <w:rsid w:val="00532D1C"/>
    <w:rsid w:val="00544B27"/>
    <w:rsid w:val="005455A7"/>
    <w:rsid w:val="00551912"/>
    <w:rsid w:val="0055599F"/>
    <w:rsid w:val="00560A12"/>
    <w:rsid w:val="005660FE"/>
    <w:rsid w:val="005712BF"/>
    <w:rsid w:val="00573E2D"/>
    <w:rsid w:val="0057656F"/>
    <w:rsid w:val="0058126B"/>
    <w:rsid w:val="00582827"/>
    <w:rsid w:val="005909FF"/>
    <w:rsid w:val="005A069E"/>
    <w:rsid w:val="005A6796"/>
    <w:rsid w:val="005B1B61"/>
    <w:rsid w:val="005B45B8"/>
    <w:rsid w:val="005B7DD9"/>
    <w:rsid w:val="005D5C0D"/>
    <w:rsid w:val="005D73EA"/>
    <w:rsid w:val="005E53AC"/>
    <w:rsid w:val="005E5AD3"/>
    <w:rsid w:val="005E624E"/>
    <w:rsid w:val="005F31C8"/>
    <w:rsid w:val="005F36DC"/>
    <w:rsid w:val="005F4C3B"/>
    <w:rsid w:val="005F6090"/>
    <w:rsid w:val="006002F8"/>
    <w:rsid w:val="00604811"/>
    <w:rsid w:val="0061188C"/>
    <w:rsid w:val="0061500B"/>
    <w:rsid w:val="00616323"/>
    <w:rsid w:val="00641562"/>
    <w:rsid w:val="00644404"/>
    <w:rsid w:val="006515F1"/>
    <w:rsid w:val="0065684F"/>
    <w:rsid w:val="006643FA"/>
    <w:rsid w:val="00664BFE"/>
    <w:rsid w:val="00666FF6"/>
    <w:rsid w:val="00667C0D"/>
    <w:rsid w:val="0068451E"/>
    <w:rsid w:val="00691B31"/>
    <w:rsid w:val="006A2B14"/>
    <w:rsid w:val="006A6CF0"/>
    <w:rsid w:val="006C2AAF"/>
    <w:rsid w:val="006C33BA"/>
    <w:rsid w:val="006C746C"/>
    <w:rsid w:val="006C7672"/>
    <w:rsid w:val="006E1529"/>
    <w:rsid w:val="006E1639"/>
    <w:rsid w:val="006E76B0"/>
    <w:rsid w:val="007007DA"/>
    <w:rsid w:val="00700C29"/>
    <w:rsid w:val="00703427"/>
    <w:rsid w:val="00703484"/>
    <w:rsid w:val="0070531C"/>
    <w:rsid w:val="00725878"/>
    <w:rsid w:val="00726CD2"/>
    <w:rsid w:val="007473CF"/>
    <w:rsid w:val="00750952"/>
    <w:rsid w:val="007544EA"/>
    <w:rsid w:val="0076392A"/>
    <w:rsid w:val="00763BB0"/>
    <w:rsid w:val="00763BCA"/>
    <w:rsid w:val="00763EF1"/>
    <w:rsid w:val="00764847"/>
    <w:rsid w:val="00774C1A"/>
    <w:rsid w:val="00782431"/>
    <w:rsid w:val="007A7319"/>
    <w:rsid w:val="007B3179"/>
    <w:rsid w:val="007C220F"/>
    <w:rsid w:val="007C54AD"/>
    <w:rsid w:val="007C6CE1"/>
    <w:rsid w:val="007C77E3"/>
    <w:rsid w:val="007D0C1D"/>
    <w:rsid w:val="007D66A4"/>
    <w:rsid w:val="007E3B9E"/>
    <w:rsid w:val="007E5058"/>
    <w:rsid w:val="007E5063"/>
    <w:rsid w:val="007F21D5"/>
    <w:rsid w:val="00803391"/>
    <w:rsid w:val="00804339"/>
    <w:rsid w:val="00807220"/>
    <w:rsid w:val="00811FBA"/>
    <w:rsid w:val="00812239"/>
    <w:rsid w:val="008210A5"/>
    <w:rsid w:val="00832FAB"/>
    <w:rsid w:val="00834134"/>
    <w:rsid w:val="00834E2B"/>
    <w:rsid w:val="008426E2"/>
    <w:rsid w:val="00851A16"/>
    <w:rsid w:val="0085689F"/>
    <w:rsid w:val="0086017A"/>
    <w:rsid w:val="0086338D"/>
    <w:rsid w:val="00865CBA"/>
    <w:rsid w:val="00866873"/>
    <w:rsid w:val="00867CAD"/>
    <w:rsid w:val="0088289E"/>
    <w:rsid w:val="00882D32"/>
    <w:rsid w:val="008840A7"/>
    <w:rsid w:val="00884A0F"/>
    <w:rsid w:val="00891A6F"/>
    <w:rsid w:val="00897224"/>
    <w:rsid w:val="008979B4"/>
    <w:rsid w:val="008A50FD"/>
    <w:rsid w:val="008A79C9"/>
    <w:rsid w:val="008B1B0D"/>
    <w:rsid w:val="008D3A81"/>
    <w:rsid w:val="008D3D2C"/>
    <w:rsid w:val="008E0042"/>
    <w:rsid w:val="008E2D3C"/>
    <w:rsid w:val="008E5643"/>
    <w:rsid w:val="008E5EC5"/>
    <w:rsid w:val="008F2BCC"/>
    <w:rsid w:val="009023E4"/>
    <w:rsid w:val="00906706"/>
    <w:rsid w:val="00912D68"/>
    <w:rsid w:val="00923DE5"/>
    <w:rsid w:val="00930950"/>
    <w:rsid w:val="00936E21"/>
    <w:rsid w:val="009407DE"/>
    <w:rsid w:val="00953B4B"/>
    <w:rsid w:val="00962EA1"/>
    <w:rsid w:val="00970492"/>
    <w:rsid w:val="00970953"/>
    <w:rsid w:val="00971C65"/>
    <w:rsid w:val="0098510C"/>
    <w:rsid w:val="00986FDB"/>
    <w:rsid w:val="00992DCB"/>
    <w:rsid w:val="009A300B"/>
    <w:rsid w:val="009A49E7"/>
    <w:rsid w:val="009A783B"/>
    <w:rsid w:val="009D0AAB"/>
    <w:rsid w:val="009D3A5E"/>
    <w:rsid w:val="009E694D"/>
    <w:rsid w:val="009F1FC1"/>
    <w:rsid w:val="009F5699"/>
    <w:rsid w:val="00A04536"/>
    <w:rsid w:val="00A208EF"/>
    <w:rsid w:val="00A345C2"/>
    <w:rsid w:val="00A35B59"/>
    <w:rsid w:val="00A471F8"/>
    <w:rsid w:val="00A70A49"/>
    <w:rsid w:val="00A7465B"/>
    <w:rsid w:val="00A767C4"/>
    <w:rsid w:val="00A826D2"/>
    <w:rsid w:val="00A84EC6"/>
    <w:rsid w:val="00A95C9A"/>
    <w:rsid w:val="00AA30E5"/>
    <w:rsid w:val="00AB031B"/>
    <w:rsid w:val="00AB26E7"/>
    <w:rsid w:val="00AB74F7"/>
    <w:rsid w:val="00AC0E08"/>
    <w:rsid w:val="00AD6411"/>
    <w:rsid w:val="00AF7350"/>
    <w:rsid w:val="00AF7C38"/>
    <w:rsid w:val="00B07E5F"/>
    <w:rsid w:val="00B1029A"/>
    <w:rsid w:val="00B107A5"/>
    <w:rsid w:val="00B160A1"/>
    <w:rsid w:val="00B21E29"/>
    <w:rsid w:val="00B23900"/>
    <w:rsid w:val="00B25194"/>
    <w:rsid w:val="00B51409"/>
    <w:rsid w:val="00B56A3E"/>
    <w:rsid w:val="00B634E9"/>
    <w:rsid w:val="00B723F7"/>
    <w:rsid w:val="00B77675"/>
    <w:rsid w:val="00B81DC8"/>
    <w:rsid w:val="00B846D6"/>
    <w:rsid w:val="00B9229D"/>
    <w:rsid w:val="00BA4BC9"/>
    <w:rsid w:val="00BA4C9D"/>
    <w:rsid w:val="00BB2F47"/>
    <w:rsid w:val="00BB399C"/>
    <w:rsid w:val="00BC1CFD"/>
    <w:rsid w:val="00BC3242"/>
    <w:rsid w:val="00BC7E17"/>
    <w:rsid w:val="00BD010E"/>
    <w:rsid w:val="00BD72B9"/>
    <w:rsid w:val="00BE03E7"/>
    <w:rsid w:val="00BE3D86"/>
    <w:rsid w:val="00BE41FD"/>
    <w:rsid w:val="00BE6048"/>
    <w:rsid w:val="00BF16F7"/>
    <w:rsid w:val="00C03181"/>
    <w:rsid w:val="00C03278"/>
    <w:rsid w:val="00C21E0D"/>
    <w:rsid w:val="00C2302A"/>
    <w:rsid w:val="00C305D7"/>
    <w:rsid w:val="00C60413"/>
    <w:rsid w:val="00C61F2E"/>
    <w:rsid w:val="00C67C15"/>
    <w:rsid w:val="00C778B7"/>
    <w:rsid w:val="00C81D3D"/>
    <w:rsid w:val="00C861E5"/>
    <w:rsid w:val="00C97D98"/>
    <w:rsid w:val="00CA135F"/>
    <w:rsid w:val="00CA3371"/>
    <w:rsid w:val="00CA352A"/>
    <w:rsid w:val="00CA3F7F"/>
    <w:rsid w:val="00CA40A9"/>
    <w:rsid w:val="00CC4470"/>
    <w:rsid w:val="00CC5315"/>
    <w:rsid w:val="00CD0B98"/>
    <w:rsid w:val="00CF15FA"/>
    <w:rsid w:val="00D109F6"/>
    <w:rsid w:val="00D2677D"/>
    <w:rsid w:val="00D45AF9"/>
    <w:rsid w:val="00D471C6"/>
    <w:rsid w:val="00D539B2"/>
    <w:rsid w:val="00D54253"/>
    <w:rsid w:val="00D625D4"/>
    <w:rsid w:val="00D657BA"/>
    <w:rsid w:val="00D81576"/>
    <w:rsid w:val="00D836F0"/>
    <w:rsid w:val="00D860F5"/>
    <w:rsid w:val="00DA4B15"/>
    <w:rsid w:val="00DB53DF"/>
    <w:rsid w:val="00DB5D4D"/>
    <w:rsid w:val="00DB6B78"/>
    <w:rsid w:val="00DC255D"/>
    <w:rsid w:val="00DC330B"/>
    <w:rsid w:val="00DD006A"/>
    <w:rsid w:val="00E055BA"/>
    <w:rsid w:val="00E06F1D"/>
    <w:rsid w:val="00E14161"/>
    <w:rsid w:val="00E14681"/>
    <w:rsid w:val="00E1498D"/>
    <w:rsid w:val="00E21AA7"/>
    <w:rsid w:val="00E21D00"/>
    <w:rsid w:val="00E239E2"/>
    <w:rsid w:val="00E426EE"/>
    <w:rsid w:val="00E4793A"/>
    <w:rsid w:val="00E55791"/>
    <w:rsid w:val="00E846F0"/>
    <w:rsid w:val="00E8565C"/>
    <w:rsid w:val="00EA01D5"/>
    <w:rsid w:val="00EA22EC"/>
    <w:rsid w:val="00EA3029"/>
    <w:rsid w:val="00EB785A"/>
    <w:rsid w:val="00ED317C"/>
    <w:rsid w:val="00EE2A19"/>
    <w:rsid w:val="00EE7F76"/>
    <w:rsid w:val="00EF4793"/>
    <w:rsid w:val="00EF5C70"/>
    <w:rsid w:val="00F0314E"/>
    <w:rsid w:val="00F05520"/>
    <w:rsid w:val="00F1057F"/>
    <w:rsid w:val="00F12230"/>
    <w:rsid w:val="00F12E09"/>
    <w:rsid w:val="00F14A5C"/>
    <w:rsid w:val="00F20B6D"/>
    <w:rsid w:val="00F246EC"/>
    <w:rsid w:val="00F32BC0"/>
    <w:rsid w:val="00F36BE3"/>
    <w:rsid w:val="00F37CA5"/>
    <w:rsid w:val="00F458C8"/>
    <w:rsid w:val="00F469C4"/>
    <w:rsid w:val="00F46B00"/>
    <w:rsid w:val="00F533FB"/>
    <w:rsid w:val="00F53AD1"/>
    <w:rsid w:val="00F57A2D"/>
    <w:rsid w:val="00F57EFE"/>
    <w:rsid w:val="00F647D9"/>
    <w:rsid w:val="00F847FC"/>
    <w:rsid w:val="00F86220"/>
    <w:rsid w:val="00FA2D71"/>
    <w:rsid w:val="00FA2F99"/>
    <w:rsid w:val="00FA6B90"/>
    <w:rsid w:val="00FA6EFF"/>
    <w:rsid w:val="00FA7907"/>
    <w:rsid w:val="00FB179D"/>
    <w:rsid w:val="00FB25F7"/>
    <w:rsid w:val="00FB5DBD"/>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 w:type="paragraph" w:styleId="Lihttekst">
    <w:name w:val="Plain Text"/>
    <w:basedOn w:val="Normaallaad"/>
    <w:link w:val="LihttekstMrk"/>
    <w:uiPriority w:val="99"/>
    <w:semiHidden/>
    <w:unhideWhenUsed/>
    <w:rsid w:val="0076392A"/>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76392A"/>
    <w:rPr>
      <w:rFonts w:ascii="Consolas" w:hAnsi="Consolas"/>
      <w:sz w:val="21"/>
      <w:szCs w:val="21"/>
    </w:rPr>
  </w:style>
  <w:style w:type="paragraph" w:styleId="Normaallaadveeb">
    <w:name w:val="Normal (Web)"/>
    <w:basedOn w:val="Normaallaad"/>
    <w:uiPriority w:val="99"/>
    <w:semiHidden/>
    <w:unhideWhenUsed/>
    <w:rsid w:val="00BF16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4</Pages>
  <Words>1271</Words>
  <Characters>7372</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Ülle Riiner</cp:lastModifiedBy>
  <cp:revision>63</cp:revision>
  <cp:lastPrinted>2022-09-12T05:55:00Z</cp:lastPrinted>
  <dcterms:created xsi:type="dcterms:W3CDTF">2026-04-08T12:18:00Z</dcterms:created>
  <dcterms:modified xsi:type="dcterms:W3CDTF">2026-06-26T08:38:00Z</dcterms:modified>
</cp:coreProperties>
</file>